
<file path=[Content_Types].xml><?xml version="1.0" encoding="utf-8"?>
<Types xmlns="http://schemas.openxmlformats.org/package/2006/content-types">
  <Default Extension="xlsx" ContentType="application/vnd.openxmlformats-officedocument.spreadsheetml.sheet"/>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charts/chart1.xml" ContentType="application/vnd.openxmlformats-officedocument.drawingml.chart+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Interstate Bakeries Case Study</w:t>
      </w:r>
    </w:p>
    <w:p>
      <w:pPr>
        <w:pStyle w:val="style0"/>
        <w:jc w:val="center"/>
        <w:rPr>
          <w:rFonts w:ascii="Times New Roman" w:cs="Times New Roman" w:hAnsi="Times New Roman"/>
          <w:sz w:val="24"/>
          <w:szCs w:val="24"/>
        </w:rPr>
      </w:pPr>
      <w:r>
        <w:rPr>
          <w:rFonts w:ascii="Times New Roman" w:cs="Times New Roman" w:hAnsi="Times New Roman"/>
          <w:sz w:val="24"/>
          <w:szCs w:val="24"/>
        </w:rPr>
        <w:t>Name</w:t>
      </w:r>
    </w:p>
    <w:p>
      <w:pPr>
        <w:pStyle w:val="style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Interstate Bakeries Case Study</w:t>
      </w:r>
    </w:p>
    <w:p>
      <w:pPr>
        <w:pStyle w:val="style0"/>
        <w:jc w:val="center"/>
        <w:rPr>
          <w:rFonts w:ascii="Times New Roman" w:cs="Times New Roman" w:hAnsi="Times New Roman"/>
          <w:b/>
          <w:sz w:val="24"/>
          <w:szCs w:val="24"/>
        </w:rPr>
      </w:pPr>
      <w:r>
        <w:rPr>
          <w:rFonts w:ascii="Times New Roman" w:cs="Times New Roman" w:hAnsi="Times New Roman"/>
          <w:b/>
          <w:sz w:val="24"/>
          <w:szCs w:val="24"/>
        </w:rPr>
        <w:t xml:space="preserve">Memo Appendix </w:t>
      </w:r>
    </w:p>
    <w:p>
      <w:pPr>
        <w:pStyle w:val="style0"/>
        <w:rPr>
          <w:rFonts w:ascii="Times New Roman" w:cs="Times New Roman" w:hAnsi="Times New Roman"/>
          <w:sz w:val="24"/>
          <w:szCs w:val="24"/>
        </w:rPr>
      </w:pPr>
      <w:r>
        <w:rPr>
          <w:rFonts w:ascii="Times New Roman" w:cs="Times New Roman" w:hAnsi="Times New Roman"/>
          <w:b/>
          <w:sz w:val="24"/>
          <w:szCs w:val="24"/>
        </w:rPr>
        <w:tab/>
      </w:r>
      <w:r>
        <w:rPr>
          <w:rFonts w:ascii="Times New Roman" w:cs="Times New Roman" w:hAnsi="Times New Roman"/>
          <w:sz w:val="24"/>
          <w:szCs w:val="24"/>
        </w:rPr>
        <w:t>Since its inception in</w:t>
      </w:r>
      <w:r>
        <w:rPr>
          <w:rFonts w:ascii="Times New Roman" w:cs="Times New Roman" w:hAnsi="Times New Roman"/>
          <w:sz w:val="24"/>
          <w:szCs w:val="24"/>
        </w:rPr>
        <w:t xml:space="preserve"> </w:t>
      </w:r>
      <w:r>
        <w:rPr>
          <w:rFonts w:ascii="Times New Roman" w:cs="Times New Roman" w:hAnsi="Times New Roman"/>
          <w:sz w:val="24"/>
          <w:szCs w:val="24"/>
        </w:rPr>
        <w:t xml:space="preserve">1930, Interstate Bakeries grew steadily to become one of the leading manufacturers of bread and cake in the U.S. The company’s growth can be attributed to early acquisitions of small companies. The massive growth that the firm enjoyed before 2004 was due to mergers and acquisitions of 24 companies across its history. </w:t>
      </w:r>
      <w:r>
        <w:rPr>
          <w:rFonts w:ascii="Times New Roman" w:cs="Times New Roman" w:hAnsi="Times New Roman"/>
          <w:sz w:val="24"/>
          <w:szCs w:val="24"/>
        </w:rPr>
        <w:t xml:space="preserve">See exhibit 4 that details Interstates mergers and acquisitions. </w:t>
      </w:r>
      <w:r>
        <w:rPr>
          <w:rFonts w:ascii="Times New Roman" w:cs="Times New Roman" w:hAnsi="Times New Roman"/>
          <w:sz w:val="24"/>
          <w:szCs w:val="24"/>
        </w:rPr>
        <w:t xml:space="preserve">The demand for bread rose significantly in from mid-1990s and the firm saw its revenue rise to $3.5 million. </w:t>
      </w:r>
      <w:r>
        <w:rPr>
          <w:rFonts w:ascii="Times New Roman" w:cs="Times New Roman" w:hAnsi="Times New Roman"/>
          <w:sz w:val="24"/>
          <w:szCs w:val="24"/>
        </w:rPr>
        <w:t xml:space="preserve">The firm was also quite profitable during those years until 2004. </w:t>
      </w:r>
      <w:r>
        <w:rPr>
          <w:rFonts w:ascii="Times New Roman" w:cs="Times New Roman" w:hAnsi="Times New Roman"/>
          <w:sz w:val="24"/>
          <w:szCs w:val="24"/>
        </w:rPr>
        <w:t xml:space="preserve">After 2004, attempts to sustain the firm’s revenues and profitability have been futile. </w:t>
      </w:r>
      <w:r>
        <w:rPr>
          <w:rFonts w:ascii="Times New Roman" w:cs="Times New Roman" w:hAnsi="Times New Roman"/>
          <w:sz w:val="24"/>
          <w:szCs w:val="24"/>
        </w:rPr>
        <w:t xml:space="preserve">This has been the case despite of effort by the CEO to adopt industry innovations as a way of bolstering efficiencies in its operations. </w:t>
      </w:r>
      <w:r>
        <w:rPr>
          <w:rFonts w:ascii="Times New Roman" w:cs="Times New Roman" w:hAnsi="Times New Roman"/>
          <w:sz w:val="24"/>
          <w:szCs w:val="24"/>
        </w:rPr>
        <w:t xml:space="preserve">What has been witnessed of late is </w:t>
      </w:r>
      <w:r>
        <w:rPr>
          <w:rFonts w:ascii="Times New Roman" w:cs="Times New Roman" w:hAnsi="Times New Roman"/>
          <w:sz w:val="24"/>
          <w:szCs w:val="24"/>
        </w:rPr>
        <w:t xml:space="preserve">stagnation, or even drop of the firm’s performance. </w:t>
      </w:r>
      <w:r>
        <w:rPr>
          <w:rFonts w:ascii="Times New Roman" w:cs="Times New Roman" w:hAnsi="Times New Roman"/>
          <w:sz w:val="24"/>
          <w:szCs w:val="24"/>
        </w:rPr>
        <w:t>While the stagnation and drop in the firm’s performance has been caused by industry-specific factors, internal factors have also played an instrumental role in creating challenges for the company.</w:t>
      </w:r>
      <w:r>
        <w:rPr>
          <w:rFonts w:ascii="Times New Roman" w:cs="Times New Roman" w:hAnsi="Times New Roman"/>
          <w:sz w:val="24"/>
          <w:szCs w:val="24"/>
        </w:rPr>
        <w:t xml:space="preserve"> </w:t>
      </w:r>
      <w:r>
        <w:rPr>
          <w:rFonts w:ascii="Times New Roman" w:cs="Times New Roman" w:hAnsi="Times New Roman"/>
          <w:sz w:val="24"/>
          <w:szCs w:val="24"/>
        </w:rPr>
        <w:t xml:space="preserve">In the face of these challenges, the CEO, Elesser is in close talks with an independent consultant who would provide him with expert advice on the most appropriate course of action. The CEO is currently stuck between a merger or acquisition, on one hand, and filing a bankruptcy, on the other and. </w:t>
      </w:r>
      <w:bookmarkStart w:id="0" w:name="_GoBack"/>
      <w:bookmarkEnd w:id="0"/>
    </w:p>
    <w:p>
      <w:pPr>
        <w:pStyle w:val="style2"/>
        <w:rPr/>
      </w:pPr>
      <w:r>
        <w:t>Exhibit 4</w:t>
      </w:r>
    </w:p>
    <w:p>
      <w:pPr>
        <w:pStyle w:val="style0"/>
        <w:jc w:val="center"/>
        <w:rPr>
          <w:rFonts w:ascii="Times New Roman" w:cs="Times New Roman" w:hAnsi="Times New Roman"/>
          <w:sz w:val="24"/>
          <w:szCs w:val="24"/>
        </w:rPr>
      </w:pPr>
      <w:r>
        <w:rPr>
          <w:rFonts w:ascii="Times New Roman" w:cs="Times New Roman" w:hAnsi="Times New Roman"/>
          <w:b/>
          <w:bCs/>
          <w:sz w:val="24"/>
          <w:szCs w:val="24"/>
        </w:rPr>
        <w:t>Summary of Interstate Bakeries’ Mergers and Acquisitions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00" w:firstRow="0" w:lastRow="0" w:firstColumn="0" w:lastColumn="0" w:noHBand="0" w:noVBand="0"/>
      </w:tblPr>
      <w:tblGrid>
        <w:gridCol w:w="1008"/>
        <w:gridCol w:w="3240"/>
        <w:gridCol w:w="4500"/>
      </w:tblGrid>
      <w:tr>
        <w:trPr/>
        <w:tc>
          <w:tcPr>
            <w:tcW w:w="1008" w:type="dxa"/>
            <w:tcBorders/>
          </w:tcPr>
          <w:p>
            <w:pPr>
              <w:pStyle w:val="style0"/>
              <w:jc w:val="center"/>
              <w:rPr>
                <w:rFonts w:ascii="Times New Roman" w:cs="Times New Roman" w:hAnsi="Times New Roman"/>
                <w:b/>
                <w:bCs/>
                <w:sz w:val="24"/>
                <w:szCs w:val="24"/>
              </w:rPr>
            </w:pPr>
            <w:r>
              <w:rPr>
                <w:rFonts w:ascii="Times New Roman" w:cs="Times New Roman" w:hAnsi="Times New Roman"/>
                <w:b/>
                <w:bCs/>
                <w:sz w:val="24"/>
                <w:szCs w:val="24"/>
              </w:rPr>
              <w:t>Year</w:t>
            </w:r>
          </w:p>
        </w:tc>
        <w:tc>
          <w:tcPr>
            <w:tcW w:w="3240" w:type="dxa"/>
            <w:tcBorders/>
          </w:tcPr>
          <w:p>
            <w:pPr>
              <w:pStyle w:val="style0"/>
              <w:jc w:val="center"/>
              <w:rPr>
                <w:rFonts w:ascii="Times New Roman" w:cs="Times New Roman" w:hAnsi="Times New Roman"/>
                <w:b/>
                <w:bCs/>
                <w:sz w:val="24"/>
                <w:szCs w:val="24"/>
              </w:rPr>
            </w:pPr>
            <w:r>
              <w:rPr>
                <w:rFonts w:ascii="Times New Roman" w:cs="Times New Roman" w:hAnsi="Times New Roman"/>
                <w:b/>
                <w:bCs/>
                <w:sz w:val="24"/>
                <w:szCs w:val="24"/>
              </w:rPr>
              <w:t>Acquisition</w:t>
            </w:r>
          </w:p>
        </w:tc>
        <w:tc>
          <w:tcPr>
            <w:tcW w:w="4500" w:type="dxa"/>
            <w:tcBorders/>
          </w:tcPr>
          <w:p>
            <w:pPr>
              <w:pStyle w:val="style0"/>
              <w:jc w:val="center"/>
              <w:rPr>
                <w:rFonts w:ascii="Times New Roman" w:cs="Times New Roman" w:hAnsi="Times New Roman"/>
                <w:b/>
                <w:bCs/>
                <w:sz w:val="24"/>
                <w:szCs w:val="24"/>
              </w:rPr>
            </w:pPr>
            <w:r>
              <w:rPr>
                <w:rFonts w:ascii="Times New Roman" w:cs="Times New Roman" w:hAnsi="Times New Roman"/>
                <w:b/>
                <w:bCs/>
                <w:sz w:val="24"/>
                <w:szCs w:val="24"/>
              </w:rPr>
              <w:t>Other information/comments</w:t>
            </w: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1930</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Year company was founded</w:t>
            </w:r>
          </w:p>
        </w:tc>
        <w:tc>
          <w:tcPr>
            <w:tcW w:w="4500" w:type="dxa"/>
            <w:tcBorders/>
          </w:tcPr>
          <w:p>
            <w:pPr>
              <w:pStyle w:val="style0"/>
              <w:rPr>
                <w:rFonts w:ascii="Times New Roman" w:cs="Times New Roman" w:hAnsi="Times New Roman"/>
                <w:sz w:val="24"/>
                <w:szCs w:val="24"/>
              </w:rPr>
            </w:pP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1937</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Shultz Baking Co.</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Increases capacity and eliminates a local competitor</w:t>
            </w: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1943</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Supreme Baking co.</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Los Angeles, CA</w:t>
            </w: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1950</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O’Rourke Baking co.</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Buffalo, NY; expansion and strategically located geographically</w:t>
            </w: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1951</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Mrs. Karl’s Bakeries</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Milwaukee, Wisconsin</w:t>
            </w: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1954</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Ambrosia Baker Co.</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Cake baking</w:t>
            </w:r>
          </w:p>
        </w:tc>
      </w:tr>
      <w:tr>
        <w:tblPrEx/>
        <w:trPr/>
        <w:tc>
          <w:tcPr>
            <w:tcW w:w="1008" w:type="dxa"/>
            <w:tcBorders/>
          </w:tcPr>
          <w:p>
            <w:pPr>
              <w:pStyle w:val="style0"/>
              <w:rPr>
                <w:rFonts w:ascii="Times New Roman" w:cs="Times New Roman" w:hAnsi="Times New Roman"/>
                <w:sz w:val="24"/>
                <w:szCs w:val="24"/>
              </w:rPr>
            </w:pP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Remar</w:t>
            </w:r>
            <w:r>
              <w:rPr>
                <w:rFonts w:ascii="Times New Roman" w:cs="Times New Roman" w:hAnsi="Times New Roman"/>
                <w:sz w:val="24"/>
                <w:szCs w:val="24"/>
              </w:rPr>
              <w:t xml:space="preserve"> Baking Co.</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Cake Baking</w:t>
            </w:r>
          </w:p>
        </w:tc>
      </w:tr>
      <w:tr>
        <w:tblPrEx/>
        <w:trPr/>
        <w:tc>
          <w:tcPr>
            <w:tcW w:w="1008" w:type="dxa"/>
            <w:tcBorders/>
          </w:tcPr>
          <w:p>
            <w:pPr>
              <w:pStyle w:val="style0"/>
              <w:rPr>
                <w:rFonts w:ascii="Times New Roman" w:cs="Times New Roman" w:hAnsi="Times New Roman"/>
                <w:sz w:val="24"/>
                <w:szCs w:val="24"/>
              </w:rPr>
            </w:pP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Butter Crème Baking co.</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Cake Baking</w:t>
            </w: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1957</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Campbell-Sell Baking co.</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Denver, Colorado</w:t>
            </w: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1959</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Kingston Cake Bakery</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Cake operation – Pennsylvania</w:t>
            </w: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1960</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Cobb’s Sunlit Bakery</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Green Bay, Wisconsin</w:t>
            </w:r>
          </w:p>
        </w:tc>
      </w:tr>
      <w:tr>
        <w:tblPrEx/>
        <w:trPr/>
        <w:tc>
          <w:tcPr>
            <w:tcW w:w="1008" w:type="dxa"/>
            <w:tcBorders/>
          </w:tcPr>
          <w:p>
            <w:pPr>
              <w:pStyle w:val="style0"/>
              <w:rPr>
                <w:rFonts w:ascii="Times New Roman" w:cs="Times New Roman" w:hAnsi="Times New Roman"/>
                <w:sz w:val="24"/>
                <w:szCs w:val="24"/>
              </w:rPr>
            </w:pP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Schall</w:t>
            </w:r>
            <w:r>
              <w:rPr>
                <w:rFonts w:ascii="Times New Roman" w:cs="Times New Roman" w:hAnsi="Times New Roman"/>
                <w:sz w:val="24"/>
                <w:szCs w:val="24"/>
              </w:rPr>
              <w:t xml:space="preserve"> Tasty Baking</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Traverse City, Michigan</w:t>
            </w:r>
          </w:p>
        </w:tc>
      </w:tr>
      <w:tr>
        <w:tblPrEx/>
        <w:trPr/>
        <w:tc>
          <w:tcPr>
            <w:tcW w:w="1008" w:type="dxa"/>
            <w:tcBorders/>
          </w:tcPr>
          <w:p>
            <w:pPr>
              <w:pStyle w:val="style0"/>
              <w:rPr>
                <w:rFonts w:ascii="Times New Roman" w:cs="Times New Roman" w:hAnsi="Times New Roman"/>
                <w:sz w:val="24"/>
                <w:szCs w:val="24"/>
              </w:rPr>
            </w:pP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Sweetheart Bread Co.</w:t>
            </w:r>
          </w:p>
        </w:tc>
        <w:tc>
          <w:tcPr>
            <w:tcW w:w="4500" w:type="dxa"/>
            <w:tcBorders/>
          </w:tcPr>
          <w:p>
            <w:pPr>
              <w:pStyle w:val="style0"/>
              <w:rPr>
                <w:rFonts w:ascii="Times New Roman" w:cs="Times New Roman" w:hAnsi="Times New Roman"/>
                <w:sz w:val="24"/>
                <w:szCs w:val="24"/>
              </w:rPr>
            </w:pPr>
          </w:p>
        </w:tc>
      </w:tr>
      <w:tr>
        <w:tblPrEx/>
        <w:trPr/>
        <w:tc>
          <w:tcPr>
            <w:tcW w:w="1008" w:type="dxa"/>
            <w:tcBorders/>
          </w:tcPr>
          <w:p>
            <w:pPr>
              <w:pStyle w:val="style0"/>
              <w:rPr>
                <w:rFonts w:ascii="Times New Roman" w:cs="Times New Roman" w:hAnsi="Times New Roman"/>
                <w:sz w:val="24"/>
                <w:szCs w:val="24"/>
              </w:rPr>
            </w:pP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Hart’s Bakeries, Inc.</w:t>
            </w:r>
          </w:p>
        </w:tc>
        <w:tc>
          <w:tcPr>
            <w:tcW w:w="4500" w:type="dxa"/>
            <w:tcBorders/>
          </w:tcPr>
          <w:p>
            <w:pPr>
              <w:pStyle w:val="style0"/>
              <w:rPr>
                <w:rFonts w:ascii="Times New Roman" w:cs="Times New Roman" w:hAnsi="Times New Roman"/>
                <w:sz w:val="24"/>
                <w:szCs w:val="24"/>
              </w:rPr>
            </w:pP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1968</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Millbrook Bread Operations</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Acquired from National Biscuit Co., included seven bakeries in upstate New York and a fleet of 700 delivery trucks.  (Total # of Interstate motor delivery trucks 4K)</w:t>
            </w:r>
          </w:p>
        </w:tc>
      </w:tr>
      <w:tr>
        <w:tblPrEx/>
        <w:trPr/>
        <w:tc>
          <w:tcPr>
            <w:tcW w:w="1008" w:type="dxa"/>
            <w:tcBorders/>
          </w:tcPr>
          <w:p>
            <w:pPr>
              <w:pStyle w:val="style0"/>
              <w:rPr>
                <w:rFonts w:ascii="Times New Roman" w:cs="Times New Roman" w:hAnsi="Times New Roman"/>
                <w:sz w:val="24"/>
                <w:szCs w:val="24"/>
              </w:rPr>
            </w:pP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Baker Canning Co.</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Wisconsin-based food processor of fruits and vegetables</w:t>
            </w: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1974</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Nolde</w:t>
            </w:r>
            <w:r>
              <w:rPr>
                <w:rFonts w:ascii="Times New Roman" w:cs="Times New Roman" w:hAnsi="Times New Roman"/>
                <w:sz w:val="24"/>
                <w:szCs w:val="24"/>
              </w:rPr>
              <w:t xml:space="preserve"> Brothers Inc.</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$500K</w:t>
            </w:r>
          </w:p>
        </w:tc>
      </w:tr>
      <w:tr>
        <w:tblPrEx/>
        <w:trPr/>
        <w:tc>
          <w:tcPr>
            <w:tcW w:w="1008" w:type="dxa"/>
            <w:tcBorders/>
          </w:tcPr>
          <w:p>
            <w:pPr>
              <w:pStyle w:val="style0"/>
              <w:rPr>
                <w:rFonts w:ascii="Times New Roman" w:cs="Times New Roman" w:hAnsi="Times New Roman"/>
                <w:sz w:val="24"/>
                <w:szCs w:val="24"/>
              </w:rPr>
            </w:pP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Divest canning operations</w:t>
            </w:r>
          </w:p>
        </w:tc>
        <w:tc>
          <w:tcPr>
            <w:tcW w:w="4500" w:type="dxa"/>
            <w:tcBorders/>
          </w:tcPr>
          <w:p>
            <w:pPr>
              <w:pStyle w:val="style0"/>
              <w:rPr>
                <w:rFonts w:ascii="Times New Roman" w:cs="Times New Roman" w:hAnsi="Times New Roman"/>
                <w:sz w:val="24"/>
                <w:szCs w:val="24"/>
              </w:rPr>
            </w:pP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1979</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Interstate Bakeries succumbs to hostile takeover by Hartsdale, NY based DPF</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DPF pays $37M for 37% of the stock which represents a controlling interest; takes company private</w:t>
            </w: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1985</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Purity Baking Co.</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Major brands include Sunbeam Bread and Steward Sandwiches</w:t>
            </w: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1987</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Merita</w:t>
            </w:r>
            <w:r>
              <w:rPr>
                <w:rFonts w:ascii="Times New Roman" w:cs="Times New Roman" w:hAnsi="Times New Roman"/>
                <w:sz w:val="24"/>
                <w:szCs w:val="24"/>
              </w:rPr>
              <w:t>/Cotton’s Bakeries</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A unit of American Bakeries Co.</w:t>
            </w: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1995</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Continental Baking Co.</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In January 1995 Interstate agreed to acquire Continental Baking Company from Ralston Purina for $330M in cash and 16.9M shares of newly issued Interstate stock valued at $13.875, a total of $560M cash and stock.  The 16.9M shares of stock represented 45% of the firm.  Under the terms of the agreement, Ralston’s stake was to be reduced to 15% by August 15, 2000.</w:t>
            </w: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1997</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San Francisco French Bread</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Acquired from Specialty Foods</w:t>
            </w:r>
          </w:p>
        </w:tc>
      </w:tr>
      <w:tr>
        <w:tblPrEx/>
        <w:trPr/>
        <w:tc>
          <w:tcPr>
            <w:tcW w:w="1008" w:type="dxa"/>
            <w:tcBorders/>
          </w:tcPr>
          <w:p>
            <w:pPr>
              <w:pStyle w:val="style0"/>
              <w:rPr>
                <w:rFonts w:ascii="Times New Roman" w:cs="Times New Roman" w:hAnsi="Times New Roman"/>
                <w:sz w:val="24"/>
                <w:szCs w:val="24"/>
              </w:rPr>
            </w:pP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Marie Calendar’s Crouton Brand</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Acquired from International </w:t>
            </w:r>
            <w:r>
              <w:rPr>
                <w:rFonts w:ascii="Times New Roman" w:cs="Times New Roman" w:hAnsi="Times New Roman"/>
                <w:sz w:val="24"/>
                <w:szCs w:val="24"/>
              </w:rPr>
              <w:t>Commissionary</w:t>
            </w: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1998</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John J. </w:t>
            </w:r>
            <w:r>
              <w:rPr>
                <w:rFonts w:ascii="Times New Roman" w:cs="Times New Roman" w:hAnsi="Times New Roman"/>
                <w:sz w:val="24"/>
                <w:szCs w:val="24"/>
              </w:rPr>
              <w:t>Nissen</w:t>
            </w:r>
            <w:r>
              <w:rPr>
                <w:rFonts w:ascii="Times New Roman" w:cs="Times New Roman" w:hAnsi="Times New Roman"/>
                <w:sz w:val="24"/>
                <w:szCs w:val="24"/>
              </w:rPr>
              <w:t xml:space="preserve"> Baking and Drake’s</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A bakery of snack cakes owned by Canada’s Culinary, Inc.</w:t>
            </w:r>
          </w:p>
        </w:tc>
      </w:tr>
      <w:tr>
        <w:tblPrEx/>
        <w:trPr/>
        <w:tc>
          <w:tcPr>
            <w:tcW w:w="1008" w:type="dxa"/>
            <w:tcBorders/>
          </w:tcPr>
          <w:p>
            <w:pPr>
              <w:pStyle w:val="style0"/>
              <w:rPr>
                <w:rFonts w:ascii="Times New Roman" w:cs="Times New Roman" w:hAnsi="Times New Roman"/>
                <w:sz w:val="24"/>
                <w:szCs w:val="24"/>
              </w:rPr>
            </w:pPr>
            <w:r>
              <w:rPr>
                <w:rFonts w:ascii="Times New Roman" w:cs="Times New Roman" w:hAnsi="Times New Roman"/>
                <w:sz w:val="24"/>
                <w:szCs w:val="24"/>
              </w:rPr>
              <w:t>1999</w:t>
            </w:r>
          </w:p>
        </w:tc>
        <w:tc>
          <w:tcPr>
            <w:tcW w:w="3240"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Unsuccessful attempt to acquire </w:t>
            </w:r>
            <w:r>
              <w:rPr>
                <w:rFonts w:ascii="Times New Roman" w:cs="Times New Roman" w:hAnsi="Times New Roman"/>
                <w:sz w:val="24"/>
                <w:szCs w:val="24"/>
              </w:rPr>
              <w:t>Culinar</w:t>
            </w:r>
            <w:r>
              <w:rPr>
                <w:rFonts w:ascii="Times New Roman" w:cs="Times New Roman" w:hAnsi="Times New Roman"/>
                <w:sz w:val="24"/>
                <w:szCs w:val="24"/>
              </w:rPr>
              <w:t xml:space="preserve"> which owns the Hostess trademark in Canada</w:t>
            </w:r>
          </w:p>
        </w:tc>
        <w:tc>
          <w:tcPr>
            <w:tcW w:w="4500" w:type="dxa"/>
            <w:tcBorders/>
          </w:tcPr>
          <w:p>
            <w:pPr>
              <w:pStyle w:val="style0"/>
              <w:rPr>
                <w:rFonts w:ascii="Times New Roman" w:cs="Times New Roman" w:hAnsi="Times New Roman"/>
                <w:sz w:val="24"/>
                <w:szCs w:val="24"/>
              </w:rPr>
            </w:pPr>
            <w:r>
              <w:rPr>
                <w:rFonts w:ascii="Times New Roman" w:cs="Times New Roman" w:hAnsi="Times New Roman"/>
                <w:sz w:val="24"/>
                <w:szCs w:val="24"/>
              </w:rPr>
              <w:t>Interstate is outbid by Canada’s Saputo Group</w:t>
            </w:r>
          </w:p>
        </w:tc>
      </w:tr>
      <w:tr>
        <w:tblPrEx/>
        <w:trPr/>
        <w:tc>
          <w:tcPr>
            <w:tcW w:w="1008" w:type="dxa"/>
            <w:tcBorders/>
          </w:tcPr>
          <w:p>
            <w:pPr>
              <w:pStyle w:val="style31"/>
              <w:rPr>
                <w:rFonts w:ascii="Times New Roman" w:cs="Times New Roman" w:hAnsi="Times New Roman"/>
                <w:sz w:val="24"/>
                <w:szCs w:val="24"/>
              </w:rPr>
            </w:pPr>
          </w:p>
        </w:tc>
        <w:tc>
          <w:tcPr>
            <w:tcW w:w="3240" w:type="dxa"/>
            <w:tcBorders/>
          </w:tcPr>
          <w:p>
            <w:pPr>
              <w:pStyle w:val="style0"/>
              <w:rPr>
                <w:rFonts w:ascii="Times New Roman" w:cs="Times New Roman" w:hAnsi="Times New Roman"/>
                <w:sz w:val="24"/>
                <w:szCs w:val="24"/>
              </w:rPr>
            </w:pPr>
          </w:p>
        </w:tc>
        <w:tc>
          <w:tcPr>
            <w:tcW w:w="4500" w:type="dxa"/>
            <w:tcBorders/>
          </w:tcPr>
          <w:p>
            <w:pPr>
              <w:pStyle w:val="style0"/>
              <w:rPr>
                <w:rFonts w:ascii="Times New Roman" w:cs="Times New Roman" w:hAnsi="Times New Roman"/>
                <w:sz w:val="24"/>
                <w:szCs w:val="24"/>
              </w:rPr>
            </w:pPr>
          </w:p>
        </w:tc>
      </w:tr>
    </w:tbl>
    <w:p>
      <w:pPr>
        <w:pStyle w:val="style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b/>
      </w:r>
    </w:p>
    <w:p>
      <w:pPr>
        <w:pStyle w:val="style0"/>
        <w:ind w:firstLine="720"/>
        <w:jc w:val="both"/>
        <w:rPr>
          <w:rFonts w:ascii="Times New Roman" w:cs="Times New Roman" w:hAnsi="Times New Roman"/>
          <w:sz w:val="24"/>
          <w:szCs w:val="24"/>
        </w:rPr>
      </w:pPr>
      <w:r>
        <w:rPr>
          <w:rFonts w:ascii="Times New Roman" w:cs="Times New Roman" w:hAnsi="Times New Roman"/>
          <w:sz w:val="24"/>
          <w:szCs w:val="24"/>
        </w:rPr>
        <w:t xml:space="preserve">A SWOT analysis of the company shows that it is currently facing multiple challenges. </w:t>
      </w:r>
      <w:r>
        <w:rPr>
          <w:rFonts w:ascii="Times New Roman" w:cs="Times New Roman" w:hAnsi="Times New Roman"/>
          <w:sz w:val="24"/>
          <w:szCs w:val="24"/>
        </w:rPr>
        <w:t>T</w:t>
      </w:r>
      <w:r>
        <w:rPr>
          <w:rFonts w:ascii="Times New Roman" w:cs="Times New Roman" w:hAnsi="Times New Roman"/>
          <w:sz w:val="24"/>
          <w:szCs w:val="24"/>
        </w:rPr>
        <w:t>here are internal and external forces that seen its performance dwindling in the past couple of years. The first challenge is involves its poor relationships with workers</w:t>
      </w:r>
      <w:r>
        <w:rPr>
          <w:rFonts w:ascii="Times New Roman" w:cs="Times New Roman" w:hAnsi="Times New Roman"/>
          <w:sz w:val="24"/>
          <w:szCs w:val="24"/>
        </w:rPr>
        <w:t>’</w:t>
      </w:r>
      <w:r>
        <w:rPr>
          <w:rFonts w:ascii="Times New Roman" w:cs="Times New Roman" w:hAnsi="Times New Roman"/>
          <w:sz w:val="24"/>
          <w:szCs w:val="24"/>
        </w:rPr>
        <w:t xml:space="preserve"> union. Several employees have filed lawsuit complaining about the company’s hostile environment and discriminative labor practices. The second challenge is high indebtedness that has resulted from recent purchase of treasuring stock. Between 1999 and 2003, stakeholder equity has been falling steadily from $604M to $326M. The third challenge for Interstate is high fixed costs of operation that has caused decline in net sales and unit volumes. Costs for energy, labor, ingredients, and packaging have also shot up and this has made it difficult for the company to predict how to adjust these costs to match inflation rates.</w:t>
      </w:r>
      <w:r>
        <w:rPr>
          <w:rFonts w:ascii="Times New Roman" w:cs="Times New Roman" w:hAnsi="Times New Roman"/>
          <w:sz w:val="24"/>
          <w:szCs w:val="24"/>
        </w:rPr>
        <w:t xml:space="preserve"> </w:t>
      </w:r>
      <w:r>
        <w:rPr>
          <w:rFonts w:ascii="Times New Roman" w:cs="Times New Roman" w:hAnsi="Times New Roman"/>
          <w:sz w:val="24"/>
          <w:szCs w:val="24"/>
        </w:rPr>
        <w:t>(See Exhibit 1 for selected financial data</w:t>
      </w:r>
      <w:r>
        <w:rPr>
          <w:rFonts w:ascii="Times New Roman" w:cs="Times New Roman" w:hAnsi="Times New Roman"/>
          <w:sz w:val="24"/>
          <w:szCs w:val="24"/>
        </w:rPr>
        <w:t xml:space="preserve"> and</w:t>
      </w:r>
      <w:r>
        <w:rPr>
          <w:rFonts w:ascii="Times New Roman" w:cs="Times New Roman" w:hAnsi="Times New Roman"/>
          <w:sz w:val="24"/>
          <w:szCs w:val="24"/>
        </w:rPr>
        <w:t xml:space="preserve"> Exhibit 12</w:t>
      </w:r>
      <w:r>
        <w:rPr>
          <w:rFonts w:ascii="Times New Roman" w:cs="Times New Roman" w:hAnsi="Times New Roman"/>
          <w:sz w:val="24"/>
          <w:szCs w:val="24"/>
        </w:rPr>
        <w:t xml:space="preserve"> for Interstate’s cash flows from operations, investm</w:t>
      </w:r>
      <w:r>
        <w:rPr>
          <w:rFonts w:ascii="Times New Roman" w:cs="Times New Roman" w:hAnsi="Times New Roman"/>
          <w:sz w:val="24"/>
          <w:szCs w:val="24"/>
        </w:rPr>
        <w:t>ent, and financing activities.)</w:t>
      </w:r>
    </w:p>
    <w:p>
      <w:pPr>
        <w:pStyle w:val="style31"/>
        <w:jc w:val="center"/>
        <w:rPr>
          <w:rFonts w:ascii="Times New Roman" w:cs="Times New Roman" w:hAnsi="Times New Roman"/>
          <w:b/>
          <w:sz w:val="24"/>
          <w:szCs w:val="24"/>
        </w:rPr>
      </w:pPr>
      <w:r>
        <w:rPr>
          <w:rFonts w:ascii="Times New Roman" w:cs="Times New Roman" w:hAnsi="Times New Roman"/>
          <w:b/>
          <w:sz w:val="24"/>
          <w:szCs w:val="24"/>
        </w:rPr>
        <w:t>Exhibit 1:</w:t>
      </w:r>
      <w:r>
        <w:rPr>
          <w:rFonts w:ascii="Times New Roman" w:cs="Times New Roman" w:hAnsi="Times New Roman"/>
          <w:b/>
          <w:sz w:val="24"/>
          <w:szCs w:val="24"/>
        </w:rPr>
        <w:t xml:space="preserve">  Interstate Bakeries – Selected Financial Data 1993-2004</w:t>
      </w:r>
    </w:p>
    <w:p>
      <w:pPr>
        <w:pStyle w:val="style0"/>
        <w:ind w:firstLine="720"/>
        <w:jc w:val="both"/>
        <w:rPr>
          <w:rFonts w:ascii="Times New Roman" w:cs="Times New Roman" w:hAnsi="Times New Roman"/>
          <w:sz w:val="24"/>
          <w:szCs w:val="24"/>
        </w:rPr>
      </w:pPr>
    </w:p>
    <w:tbl>
      <w:tblPr>
        <w:tblW w:w="13048" w:type="dxa"/>
        <w:tblLayout w:type="fixed"/>
        <w:tblCellMar>
          <w:left w:w="0" w:type="dxa"/>
          <w:right w:w="0" w:type="dxa"/>
        </w:tblCellMar>
        <w:tblLook w:val="0000" w:firstRow="0" w:lastRow="0" w:firstColumn="0" w:lastColumn="0" w:noHBand="0" w:noVBand="0"/>
      </w:tblPr>
      <w:tblGrid>
        <w:gridCol w:w="2544"/>
        <w:gridCol w:w="720"/>
        <w:gridCol w:w="900"/>
        <w:gridCol w:w="900"/>
        <w:gridCol w:w="784"/>
        <w:gridCol w:w="836"/>
        <w:gridCol w:w="900"/>
        <w:gridCol w:w="900"/>
        <w:gridCol w:w="900"/>
        <w:gridCol w:w="900"/>
        <w:gridCol w:w="1080"/>
        <w:gridCol w:w="784"/>
        <w:gridCol w:w="900"/>
      </w:tblGrid>
      <w:tr>
        <w:trPr>
          <w:trHeight w:val="264" w:hRule="atLeast"/>
        </w:trPr>
        <w:tc>
          <w:tcPr>
            <w:tcW w:w="2544" w:type="dxa"/>
            <w:tcBorders>
              <w:top w:val="single" w:sz="4" w:space="0" w:color="auto"/>
              <w:left w:val="single" w:sz="4" w:space="0" w:color="auto"/>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b/>
                <w:bCs/>
                <w:sz w:val="24"/>
                <w:szCs w:val="24"/>
              </w:rPr>
            </w:pPr>
            <w:r>
              <w:rPr>
                <w:rFonts w:ascii="Times New Roman" w:cs="Times New Roman" w:hAnsi="Times New Roman"/>
                <w:b/>
                <w:bCs/>
                <w:sz w:val="24"/>
                <w:szCs w:val="24"/>
              </w:rPr>
              <w:t> </w:t>
            </w:r>
          </w:p>
        </w:tc>
        <w:tc>
          <w:tcPr>
            <w:tcW w:w="720"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b/>
                <w:bCs/>
                <w:sz w:val="24"/>
                <w:szCs w:val="24"/>
              </w:rPr>
            </w:pPr>
            <w:r>
              <w:rPr>
                <w:rFonts w:ascii="Times New Roman" w:cs="Times New Roman" w:hAnsi="Times New Roman"/>
                <w:b/>
                <w:bCs/>
                <w:sz w:val="24"/>
                <w:szCs w:val="24"/>
              </w:rPr>
              <w:t>1993</w:t>
            </w:r>
          </w:p>
        </w:tc>
        <w:tc>
          <w:tcPr>
            <w:tcW w:w="900"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b/>
                <w:bCs/>
                <w:sz w:val="24"/>
                <w:szCs w:val="24"/>
              </w:rPr>
            </w:pPr>
            <w:r>
              <w:rPr>
                <w:rFonts w:ascii="Times New Roman" w:cs="Times New Roman" w:hAnsi="Times New Roman"/>
                <w:b/>
                <w:bCs/>
                <w:sz w:val="24"/>
                <w:szCs w:val="24"/>
              </w:rPr>
              <w:t>1994</w:t>
            </w:r>
          </w:p>
        </w:tc>
        <w:tc>
          <w:tcPr>
            <w:tcW w:w="900"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b/>
                <w:bCs/>
                <w:sz w:val="24"/>
                <w:szCs w:val="24"/>
              </w:rPr>
            </w:pPr>
            <w:r>
              <w:rPr>
                <w:rFonts w:ascii="Times New Roman" w:cs="Times New Roman" w:hAnsi="Times New Roman"/>
                <w:b/>
                <w:bCs/>
                <w:sz w:val="24"/>
                <w:szCs w:val="24"/>
              </w:rPr>
              <w:t>1995</w:t>
            </w:r>
          </w:p>
        </w:tc>
        <w:tc>
          <w:tcPr>
            <w:tcW w:w="784"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b/>
                <w:bCs/>
                <w:sz w:val="24"/>
                <w:szCs w:val="24"/>
              </w:rPr>
            </w:pPr>
            <w:r>
              <w:rPr>
                <w:rFonts w:ascii="Times New Roman" w:cs="Times New Roman" w:hAnsi="Times New Roman"/>
                <w:b/>
                <w:bCs/>
                <w:sz w:val="24"/>
                <w:szCs w:val="24"/>
              </w:rPr>
              <w:t>1996</w:t>
            </w:r>
          </w:p>
        </w:tc>
        <w:tc>
          <w:tcPr>
            <w:tcW w:w="836"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b/>
                <w:bCs/>
                <w:sz w:val="24"/>
                <w:szCs w:val="24"/>
              </w:rPr>
            </w:pPr>
            <w:r>
              <w:rPr>
                <w:rFonts w:ascii="Times New Roman" w:cs="Times New Roman" w:hAnsi="Times New Roman"/>
                <w:b/>
                <w:bCs/>
                <w:sz w:val="24"/>
                <w:szCs w:val="24"/>
              </w:rPr>
              <w:t>1997</w:t>
            </w:r>
          </w:p>
        </w:tc>
        <w:tc>
          <w:tcPr>
            <w:tcW w:w="900"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b/>
                <w:bCs/>
                <w:sz w:val="24"/>
                <w:szCs w:val="24"/>
              </w:rPr>
            </w:pPr>
            <w:r>
              <w:rPr>
                <w:rFonts w:ascii="Times New Roman" w:cs="Times New Roman" w:hAnsi="Times New Roman"/>
                <w:b/>
                <w:bCs/>
                <w:sz w:val="24"/>
                <w:szCs w:val="24"/>
              </w:rPr>
              <w:t>1998</w:t>
            </w:r>
          </w:p>
        </w:tc>
        <w:tc>
          <w:tcPr>
            <w:tcW w:w="900"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b/>
                <w:bCs/>
                <w:sz w:val="24"/>
                <w:szCs w:val="24"/>
              </w:rPr>
            </w:pPr>
            <w:r>
              <w:rPr>
                <w:rFonts w:ascii="Times New Roman" w:cs="Times New Roman" w:hAnsi="Times New Roman"/>
                <w:b/>
                <w:bCs/>
                <w:sz w:val="24"/>
                <w:szCs w:val="24"/>
              </w:rPr>
              <w:t>1999</w:t>
            </w:r>
          </w:p>
        </w:tc>
        <w:tc>
          <w:tcPr>
            <w:tcW w:w="900"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b/>
                <w:bCs/>
                <w:sz w:val="24"/>
                <w:szCs w:val="24"/>
              </w:rPr>
            </w:pPr>
            <w:r>
              <w:rPr>
                <w:rFonts w:ascii="Times New Roman" w:cs="Times New Roman" w:hAnsi="Times New Roman"/>
                <w:b/>
                <w:bCs/>
                <w:sz w:val="24"/>
                <w:szCs w:val="24"/>
              </w:rPr>
              <w:t>2000</w:t>
            </w:r>
          </w:p>
        </w:tc>
        <w:tc>
          <w:tcPr>
            <w:tcW w:w="900"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b/>
                <w:bCs/>
                <w:sz w:val="24"/>
                <w:szCs w:val="24"/>
              </w:rPr>
            </w:pPr>
            <w:r>
              <w:rPr>
                <w:rFonts w:ascii="Times New Roman" w:cs="Times New Roman" w:hAnsi="Times New Roman"/>
                <w:b/>
                <w:bCs/>
                <w:sz w:val="24"/>
                <w:szCs w:val="24"/>
              </w:rPr>
              <w:t>2001</w:t>
            </w:r>
          </w:p>
        </w:tc>
        <w:tc>
          <w:tcPr>
            <w:tcW w:w="1080"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b/>
                <w:bCs/>
                <w:sz w:val="24"/>
                <w:szCs w:val="24"/>
              </w:rPr>
            </w:pPr>
            <w:r>
              <w:rPr>
                <w:rFonts w:ascii="Times New Roman" w:cs="Times New Roman" w:hAnsi="Times New Roman"/>
                <w:b/>
                <w:bCs/>
                <w:sz w:val="24"/>
                <w:szCs w:val="24"/>
              </w:rPr>
              <w:t>2002</w:t>
            </w:r>
          </w:p>
        </w:tc>
        <w:tc>
          <w:tcPr>
            <w:tcW w:w="784"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b/>
                <w:bCs/>
                <w:sz w:val="24"/>
                <w:szCs w:val="24"/>
              </w:rPr>
            </w:pPr>
            <w:r>
              <w:rPr>
                <w:rFonts w:ascii="Times New Roman" w:cs="Times New Roman" w:hAnsi="Times New Roman"/>
                <w:b/>
                <w:bCs/>
                <w:sz w:val="24"/>
                <w:szCs w:val="24"/>
              </w:rPr>
              <w:t>2003</w:t>
            </w:r>
          </w:p>
        </w:tc>
        <w:tc>
          <w:tcPr>
            <w:tcW w:w="900" w:type="dxa"/>
            <w:tcBorders>
              <w:top w:val="single" w:sz="4" w:space="0" w:color="auto"/>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b/>
                <w:bCs/>
                <w:sz w:val="24"/>
                <w:szCs w:val="24"/>
              </w:rPr>
            </w:pPr>
            <w:r>
              <w:rPr>
                <w:rFonts w:ascii="Times New Roman" w:cs="Times New Roman" w:hAnsi="Times New Roman"/>
                <w:b/>
                <w:bCs/>
                <w:sz w:val="24"/>
                <w:szCs w:val="24"/>
              </w:rPr>
              <w:t>2004</w:t>
            </w:r>
          </w:p>
        </w:tc>
      </w:tr>
      <w:tr>
        <w:tblPrEx/>
        <w:trPr>
          <w:trHeight w:val="264" w:hRule="atLeast"/>
        </w:trPr>
        <w:tc>
          <w:tcPr>
            <w:tcW w:w="2544" w:type="dxa"/>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b/>
                <w:bCs/>
                <w:sz w:val="24"/>
                <w:szCs w:val="24"/>
              </w:rPr>
            </w:pPr>
            <w:r>
              <w:rPr>
                <w:rFonts w:ascii="Times New Roman" w:cs="Times New Roman" w:hAnsi="Times New Roman"/>
                <w:b/>
                <w:bCs/>
                <w:sz w:val="24"/>
                <w:szCs w:val="24"/>
              </w:rPr>
              <w:t xml:space="preserve">Income Statement Figures </w:t>
            </w:r>
          </w:p>
          <w:p>
            <w:pPr>
              <w:pStyle w:val="style0"/>
              <w:rPr>
                <w:rFonts w:ascii="Times New Roman" w:cs="Times New Roman" w:hAnsi="Times New Roman"/>
                <w:b/>
                <w:bCs/>
                <w:sz w:val="24"/>
                <w:szCs w:val="24"/>
              </w:rPr>
            </w:pPr>
            <w:r>
              <w:rPr>
                <w:rFonts w:ascii="Times New Roman" w:cs="Times New Roman" w:hAnsi="Times New Roman"/>
                <w:b/>
                <w:bCs/>
                <w:sz w:val="24"/>
                <w:szCs w:val="24"/>
              </w:rPr>
              <w:t>(in millions; fiscal year June-May)</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836"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108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2544" w:type="dxa"/>
            <w:tcBorders>
              <w:top w:val="nil"/>
              <w:left w:val="single" w:sz="4" w:space="0" w:color="auto"/>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Net Sales</w:t>
            </w:r>
          </w:p>
        </w:tc>
        <w:tc>
          <w:tcPr>
            <w:tcW w:w="72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$1,142.7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$1,222.8 </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$2,878.1 </w:t>
            </w:r>
          </w:p>
        </w:tc>
        <w:tc>
          <w:tcPr>
            <w:tcW w:w="836"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$3,212.4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$3,265.8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$3,459.4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$3,522.9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$3,496.5 </w:t>
            </w:r>
          </w:p>
        </w:tc>
        <w:tc>
          <w:tcPr>
            <w:tcW w:w="108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$3,532.4 </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$3,525.8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$3,467.5</w:t>
            </w:r>
          </w:p>
        </w:tc>
      </w:tr>
      <w:tr>
        <w:tblPrEx/>
        <w:trPr>
          <w:trHeight w:val="264" w:hRule="atLeast"/>
        </w:trPr>
        <w:tc>
          <w:tcPr>
            <w:tcW w:w="2544" w:type="dxa"/>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COGS</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$58.2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$630.9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$1,453.2 </w:t>
            </w:r>
          </w:p>
        </w:tc>
        <w:tc>
          <w:tcPr>
            <w:tcW w:w="836"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$1,566.3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$1,541.9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$1,635.4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$1,672.2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$1,652.5 </w:t>
            </w:r>
          </w:p>
        </w:tc>
        <w:tc>
          <w:tcPr>
            <w:tcW w:w="108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$1,675.5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$1,734.5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2544" w:type="dxa"/>
            <w:tcBorders>
              <w:top w:val="nil"/>
              <w:left w:val="single" w:sz="4" w:space="0" w:color="auto"/>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Operating Income</w:t>
            </w:r>
          </w:p>
        </w:tc>
        <w:tc>
          <w:tcPr>
            <w:tcW w:w="72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$49.9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$57.3 </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$78.8 </w:t>
            </w:r>
          </w:p>
        </w:tc>
        <w:tc>
          <w:tcPr>
            <w:tcW w:w="836"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$191.1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$231.6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$224.5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$170.4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$147.1 </w:t>
            </w:r>
          </w:p>
        </w:tc>
        <w:tc>
          <w:tcPr>
            <w:tcW w:w="108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$147.4 </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$83.3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($6.9)</w:t>
            </w:r>
          </w:p>
        </w:tc>
      </w:tr>
      <w:tr>
        <w:tblPrEx/>
        <w:trPr>
          <w:trHeight w:val="264" w:hRule="atLeast"/>
        </w:trPr>
        <w:tc>
          <w:tcPr>
            <w:tcW w:w="2544" w:type="dxa"/>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Interest Expense</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$14.7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$17.7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$29.3 </w:t>
            </w:r>
          </w:p>
        </w:tc>
        <w:tc>
          <w:tcPr>
            <w:tcW w:w="836"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$22.6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$18.6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$23.1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$27.8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$47.1 </w:t>
            </w:r>
          </w:p>
        </w:tc>
        <w:tc>
          <w:tcPr>
            <w:tcW w:w="108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$37.3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$40.3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2544" w:type="dxa"/>
            <w:tcBorders>
              <w:top w:val="nil"/>
              <w:left w:val="single" w:sz="4" w:space="0" w:color="auto"/>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Income Before Taxes</w:t>
            </w:r>
          </w:p>
        </w:tc>
        <w:tc>
          <w:tcPr>
            <w:tcW w:w="72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$32.3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836"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108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$43.1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2544" w:type="dxa"/>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Net Income</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$15.8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$20.7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$24.5 </w:t>
            </w:r>
          </w:p>
        </w:tc>
        <w:tc>
          <w:tcPr>
            <w:tcW w:w="836"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$97.2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$127.9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$126.2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$89.4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$61.1 </w:t>
            </w:r>
          </w:p>
        </w:tc>
        <w:tc>
          <w:tcPr>
            <w:tcW w:w="108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$69.8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$27.5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($25.8)</w:t>
            </w:r>
          </w:p>
        </w:tc>
      </w:tr>
      <w:tr>
        <w:tblPrEx/>
        <w:trPr>
          <w:trHeight w:val="264" w:hRule="atLeast"/>
        </w:trPr>
        <w:tc>
          <w:tcPr>
            <w:tcW w:w="2544" w:type="dxa"/>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Profit Margin</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1.4</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1.7</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0.8</w:t>
            </w:r>
          </w:p>
        </w:tc>
        <w:tc>
          <w:tcPr>
            <w:tcW w:w="836"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3.0</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3.9</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3.6</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2.5</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1.7</w:t>
            </w:r>
          </w:p>
        </w:tc>
        <w:tc>
          <w:tcPr>
            <w:tcW w:w="108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2.0</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0.8</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2544" w:type="dxa"/>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b/>
                <w:bCs/>
                <w:sz w:val="24"/>
                <w:szCs w:val="24"/>
              </w:rPr>
            </w:pPr>
            <w:r>
              <w:rPr>
                <w:rFonts w:ascii="Times New Roman" w:cs="Times New Roman" w:hAnsi="Times New Roman"/>
                <w:b/>
                <w:bCs/>
                <w:sz w:val="24"/>
                <w:szCs w:val="24"/>
              </w:rPr>
              <w:t>Balance Sheet Figures (in thousands)</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836"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108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p>
        </w:tc>
      </w:tr>
      <w:tr>
        <w:tblPrEx/>
        <w:trPr>
          <w:trHeight w:val="264" w:hRule="atLeast"/>
        </w:trPr>
        <w:tc>
          <w:tcPr>
            <w:tcW w:w="2544" w:type="dxa"/>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Cash</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$4.6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$5.0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$3.7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$0 </w:t>
            </w:r>
          </w:p>
        </w:tc>
        <w:tc>
          <w:tcPr>
            <w:tcW w:w="836"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$0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$0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$0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$0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$0 </w:t>
            </w:r>
          </w:p>
        </w:tc>
        <w:tc>
          <w:tcPr>
            <w:tcW w:w="108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$0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$0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2544" w:type="dxa"/>
            <w:tcBorders>
              <w:top w:val="nil"/>
              <w:left w:val="single" w:sz="4" w:space="0" w:color="auto"/>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Net Receivables</w:t>
            </w:r>
          </w:p>
        </w:tc>
        <w:tc>
          <w:tcPr>
            <w:tcW w:w="72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$71.3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$71.7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$75.2 </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$179.5 </w:t>
            </w:r>
          </w:p>
        </w:tc>
        <w:tc>
          <w:tcPr>
            <w:tcW w:w="836"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$190.7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$198.6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$217.0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$204.7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$197.8 </w:t>
            </w:r>
          </w:p>
        </w:tc>
        <w:tc>
          <w:tcPr>
            <w:tcW w:w="108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$197.1 </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$182.7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2544" w:type="dxa"/>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Allowance for Doubtful Accounts</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$1.5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$1.6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$1.8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$3.6 </w:t>
            </w:r>
          </w:p>
        </w:tc>
        <w:tc>
          <w:tcPr>
            <w:tcW w:w="836"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$4.6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$4.1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$4.2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$4.6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$4.1 </w:t>
            </w:r>
          </w:p>
        </w:tc>
        <w:tc>
          <w:tcPr>
            <w:tcW w:w="108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$4.2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$4.0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2544" w:type="dxa"/>
            <w:tcBorders>
              <w:top w:val="nil"/>
              <w:left w:val="single" w:sz="4" w:space="0" w:color="auto"/>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Inventory</w:t>
            </w:r>
          </w:p>
        </w:tc>
        <w:tc>
          <w:tcPr>
            <w:tcW w:w="72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$22.3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$21.0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$24.2 </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$67.3 </w:t>
            </w:r>
          </w:p>
        </w:tc>
        <w:tc>
          <w:tcPr>
            <w:tcW w:w="836"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$64.0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$66.4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$65.9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$78.8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$76.2 </w:t>
            </w:r>
          </w:p>
        </w:tc>
        <w:tc>
          <w:tcPr>
            <w:tcW w:w="108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$80.1 </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$79.7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2544" w:type="dxa"/>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Current Assets</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$118.7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$114.9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$120.3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$318.3 </w:t>
            </w:r>
          </w:p>
        </w:tc>
        <w:tc>
          <w:tcPr>
            <w:tcW w:w="836"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$325.2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$334.5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$348.8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$341.1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$336.9 </w:t>
            </w:r>
          </w:p>
        </w:tc>
        <w:tc>
          <w:tcPr>
            <w:tcW w:w="108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$344.8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$349.9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2544" w:type="dxa"/>
            <w:tcBorders>
              <w:top w:val="nil"/>
              <w:left w:val="single" w:sz="4" w:space="0" w:color="auto"/>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Property, Plant, and Equipment</w:t>
            </w:r>
          </w:p>
        </w:tc>
        <w:tc>
          <w:tcPr>
            <w:tcW w:w="72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$329.4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$316.5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$346.4 </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$1,021.5 </w:t>
            </w:r>
          </w:p>
        </w:tc>
        <w:tc>
          <w:tcPr>
            <w:tcW w:w="836"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$1,076.4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$1,193.0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$1,328.2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$1,87.6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$1,457.3 </w:t>
            </w:r>
          </w:p>
        </w:tc>
        <w:tc>
          <w:tcPr>
            <w:tcW w:w="108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$1,478.2 </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$1,555.5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$1.239.1 </w:t>
            </w:r>
          </w:p>
        </w:tc>
      </w:tr>
      <w:tr>
        <w:tblPrEx/>
        <w:trPr>
          <w:trHeight w:val="264" w:hRule="atLeast"/>
        </w:trPr>
        <w:tc>
          <w:tcPr>
            <w:tcW w:w="2544" w:type="dxa"/>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Total Assets, Total Equity &amp; Liabilities</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$586.8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$574.8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$598.4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$1,486.5 </w:t>
            </w:r>
          </w:p>
        </w:tc>
        <w:tc>
          <w:tcPr>
            <w:tcW w:w="836"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$1,493.1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$1,550.0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$1,680.8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$1,51.9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$1,623.5 </w:t>
            </w:r>
          </w:p>
        </w:tc>
        <w:tc>
          <w:tcPr>
            <w:tcW w:w="108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$1.602.9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$1.645.7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2544" w:type="dxa"/>
            <w:tcBorders>
              <w:top w:val="nil"/>
              <w:left w:val="single" w:sz="4" w:space="0" w:color="auto"/>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Current Liabilities</w:t>
            </w:r>
          </w:p>
        </w:tc>
        <w:tc>
          <w:tcPr>
            <w:tcW w:w="72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$117.9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$107.3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$109.2 </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$357.2 </w:t>
            </w:r>
          </w:p>
        </w:tc>
        <w:tc>
          <w:tcPr>
            <w:tcW w:w="836"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$348.5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$365.1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$355.2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$330.5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$347.4 </w:t>
            </w:r>
          </w:p>
        </w:tc>
        <w:tc>
          <w:tcPr>
            <w:tcW w:w="108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$386.4 </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$425.6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2544" w:type="dxa"/>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Long Term Debt minus current portion</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$201.2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$212.2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$303.7 </w:t>
            </w:r>
          </w:p>
        </w:tc>
        <w:tc>
          <w:tcPr>
            <w:tcW w:w="836"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$251.0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$261.0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$369.0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$385.0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$555.9 </w:t>
            </w:r>
          </w:p>
        </w:tc>
        <w:tc>
          <w:tcPr>
            <w:tcW w:w="108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$581.4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$528.8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$327.5 </w:t>
            </w:r>
          </w:p>
        </w:tc>
      </w:tr>
      <w:tr>
        <w:tblPrEx/>
        <w:trPr>
          <w:trHeight w:val="264" w:hRule="atLeast"/>
        </w:trPr>
        <w:tc>
          <w:tcPr>
            <w:tcW w:w="2544" w:type="dxa"/>
            <w:tcBorders>
              <w:top w:val="nil"/>
              <w:left w:val="single" w:sz="4" w:space="0" w:color="auto"/>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Total Liabilities</w:t>
            </w:r>
          </w:p>
        </w:tc>
        <w:tc>
          <w:tcPr>
            <w:tcW w:w="72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$387.4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$400.4 </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$1,026.2 </w:t>
            </w:r>
          </w:p>
        </w:tc>
        <w:tc>
          <w:tcPr>
            <w:tcW w:w="836"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$954.4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$984.8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$1,077.0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$1,60.2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$1,230.7 </w:t>
            </w:r>
          </w:p>
        </w:tc>
        <w:tc>
          <w:tcPr>
            <w:tcW w:w="108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$1,301.7 </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$1,319.9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$932.6 </w:t>
            </w:r>
          </w:p>
        </w:tc>
      </w:tr>
      <w:tr>
        <w:tblPrEx/>
        <w:trPr>
          <w:trHeight w:val="264" w:hRule="atLeast"/>
        </w:trPr>
        <w:tc>
          <w:tcPr>
            <w:tcW w:w="2544" w:type="dxa"/>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xml:space="preserve">Total </w:t>
            </w:r>
            <w:r>
              <w:rPr>
                <w:rFonts w:ascii="Times New Roman" w:cs="Times New Roman" w:hAnsi="Times New Roman"/>
                <w:sz w:val="24"/>
                <w:szCs w:val="24"/>
              </w:rPr>
              <w:t>Stockholders’</w:t>
            </w:r>
            <w:r>
              <w:rPr>
                <w:rFonts w:ascii="Times New Roman" w:cs="Times New Roman" w:hAnsi="Times New Roman"/>
                <w:sz w:val="24"/>
                <w:szCs w:val="24"/>
              </w:rPr>
              <w:t xml:space="preserve"> Equity</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$202.3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$187.4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$198.0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$460.2 </w:t>
            </w:r>
          </w:p>
        </w:tc>
        <w:tc>
          <w:tcPr>
            <w:tcW w:w="836"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$538.7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$565.2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$603.8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$591.7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$392.8 </w:t>
            </w:r>
          </w:p>
        </w:tc>
        <w:tc>
          <w:tcPr>
            <w:tcW w:w="108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$301.2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$325.8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2544" w:type="dxa"/>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Return on Equity</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8.4%</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10.5%</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5.3%</w:t>
            </w:r>
          </w:p>
        </w:tc>
        <w:tc>
          <w:tcPr>
            <w:tcW w:w="836"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18.0%</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22.6%</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20.9%</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15.1%</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15.5%</w:t>
            </w:r>
          </w:p>
        </w:tc>
        <w:tc>
          <w:tcPr>
            <w:tcW w:w="108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23.2%</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8.4%</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2544" w:type="dxa"/>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b/>
                <w:bCs/>
                <w:sz w:val="24"/>
                <w:szCs w:val="24"/>
              </w:rPr>
            </w:pPr>
            <w:r>
              <w:rPr>
                <w:rFonts w:ascii="Times New Roman" w:cs="Times New Roman" w:hAnsi="Times New Roman"/>
                <w:b/>
                <w:bCs/>
                <w:sz w:val="24"/>
                <w:szCs w:val="24"/>
              </w:rPr>
              <w:t>Cash Flow figures</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836"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108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2544" w:type="dxa"/>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Cash Flow From Operations</w:t>
            </w:r>
          </w:p>
        </w:tc>
        <w:tc>
          <w:tcPr>
            <w:tcW w:w="72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$53.1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$49.7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$164.4 </w:t>
            </w:r>
          </w:p>
        </w:tc>
        <w:tc>
          <w:tcPr>
            <w:tcW w:w="836"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$196.2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$201.6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$187.5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$165.9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$182.2 </w:t>
            </w:r>
          </w:p>
        </w:tc>
        <w:tc>
          <w:tcPr>
            <w:tcW w:w="108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$199.7 </w:t>
            </w:r>
          </w:p>
        </w:tc>
        <w:tc>
          <w:tcPr>
            <w:tcW w:w="784"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$156.4 </w:t>
            </w:r>
          </w:p>
        </w:tc>
        <w:tc>
          <w:tcPr>
            <w:tcW w:w="900" w:type="dxa"/>
            <w:tcBorders>
              <w:top w:val="nil"/>
              <w:left w:val="nil"/>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2544" w:type="dxa"/>
            <w:tcBorders>
              <w:top w:val="nil"/>
              <w:left w:val="single" w:sz="4" w:space="0" w:color="auto"/>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Cash Flows From Investment Activities</w:t>
            </w:r>
          </w:p>
        </w:tc>
        <w:tc>
          <w:tcPr>
            <w:tcW w:w="72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($26.2)</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($51.6)</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($272.3)</w:t>
            </w:r>
          </w:p>
        </w:tc>
        <w:tc>
          <w:tcPr>
            <w:tcW w:w="836"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($103.3)</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($135.1)</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($207.1)</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($84.4)</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($85.7)</w:t>
            </w:r>
          </w:p>
        </w:tc>
        <w:tc>
          <w:tcPr>
            <w:tcW w:w="108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($67.8)</w:t>
            </w:r>
          </w:p>
        </w:tc>
        <w:tc>
          <w:tcPr>
            <w:tcW w:w="784"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($104.2)</w:t>
            </w:r>
          </w:p>
        </w:tc>
        <w:tc>
          <w:tcPr>
            <w:tcW w:w="900" w:type="dxa"/>
            <w:tcBorders>
              <w:top w:val="nil"/>
              <w:left w:val="nil"/>
              <w:bottom w:val="single" w:sz="4" w:space="0" w:color="auto"/>
              <w:right w:val="single" w:sz="4" w:space="0" w:color="auto"/>
            </w:tcBorders>
            <w:shd w:val="clear" w:color="auto" w:fill="c0c0c0"/>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2544" w:type="dxa"/>
            <w:tcBorders>
              <w:top w:val="nil"/>
              <w:left w:val="single" w:sz="4" w:space="0" w:color="auto"/>
              <w:bottom w:val="nil"/>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Cash Flows From Financing Activities</w:t>
            </w:r>
          </w:p>
        </w:tc>
        <w:tc>
          <w:tcPr>
            <w:tcW w:w="720" w:type="dxa"/>
            <w:tcBorders>
              <w:top w:val="nil"/>
              <w:left w:val="nil"/>
              <w:bottom w:val="nil"/>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c>
          <w:tcPr>
            <w:tcW w:w="900" w:type="dxa"/>
            <w:tcBorders>
              <w:top w:val="nil"/>
              <w:left w:val="nil"/>
              <w:bottom w:val="nil"/>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($26.3)</w:t>
            </w:r>
          </w:p>
        </w:tc>
        <w:tc>
          <w:tcPr>
            <w:tcW w:w="900" w:type="dxa"/>
            <w:tcBorders>
              <w:top w:val="nil"/>
              <w:left w:val="nil"/>
              <w:bottom w:val="nil"/>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$.6 </w:t>
            </w:r>
          </w:p>
        </w:tc>
        <w:tc>
          <w:tcPr>
            <w:tcW w:w="784" w:type="dxa"/>
            <w:tcBorders>
              <w:top w:val="nil"/>
              <w:left w:val="nil"/>
              <w:bottom w:val="nil"/>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$104.2 </w:t>
            </w:r>
          </w:p>
        </w:tc>
        <w:tc>
          <w:tcPr>
            <w:tcW w:w="836" w:type="dxa"/>
            <w:tcBorders>
              <w:top w:val="nil"/>
              <w:left w:val="nil"/>
              <w:bottom w:val="nil"/>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($92.9)</w:t>
            </w:r>
          </w:p>
        </w:tc>
        <w:tc>
          <w:tcPr>
            <w:tcW w:w="900" w:type="dxa"/>
            <w:tcBorders>
              <w:top w:val="nil"/>
              <w:left w:val="nil"/>
              <w:bottom w:val="nil"/>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($66.5)</w:t>
            </w:r>
          </w:p>
        </w:tc>
        <w:tc>
          <w:tcPr>
            <w:tcW w:w="900" w:type="dxa"/>
            <w:tcBorders>
              <w:top w:val="nil"/>
              <w:left w:val="nil"/>
              <w:bottom w:val="nil"/>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 xml:space="preserve">$19.6 </w:t>
            </w:r>
          </w:p>
        </w:tc>
        <w:tc>
          <w:tcPr>
            <w:tcW w:w="900" w:type="dxa"/>
            <w:tcBorders>
              <w:top w:val="nil"/>
              <w:left w:val="nil"/>
              <w:bottom w:val="nil"/>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($81.5)</w:t>
            </w:r>
          </w:p>
        </w:tc>
        <w:tc>
          <w:tcPr>
            <w:tcW w:w="900" w:type="dxa"/>
            <w:tcBorders>
              <w:top w:val="nil"/>
              <w:left w:val="nil"/>
              <w:bottom w:val="nil"/>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($96.5)</w:t>
            </w:r>
          </w:p>
        </w:tc>
        <w:tc>
          <w:tcPr>
            <w:tcW w:w="1080" w:type="dxa"/>
            <w:tcBorders>
              <w:top w:val="nil"/>
              <w:left w:val="nil"/>
              <w:bottom w:val="nil"/>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($131.9)</w:t>
            </w:r>
          </w:p>
        </w:tc>
        <w:tc>
          <w:tcPr>
            <w:tcW w:w="784" w:type="dxa"/>
            <w:tcBorders>
              <w:top w:val="nil"/>
              <w:left w:val="nil"/>
              <w:bottom w:val="nil"/>
              <w:right w:val="single" w:sz="4" w:space="0" w:color="auto"/>
            </w:tcBorders>
            <w:noWrap/>
            <w:tcMar>
              <w:top w:w="24" w:type="dxa"/>
              <w:left w:w="24" w:type="dxa"/>
              <w:bottom w:w="0" w:type="dxa"/>
              <w:right w:w="24" w:type="dxa"/>
            </w:tcMar>
            <w:vAlign w:val="bottom"/>
          </w:tcPr>
          <w:p>
            <w:pPr>
              <w:pStyle w:val="style0"/>
              <w:jc w:val="right"/>
              <w:rPr>
                <w:rFonts w:ascii="Times New Roman" w:cs="Times New Roman" w:hAnsi="Times New Roman"/>
                <w:sz w:val="24"/>
                <w:szCs w:val="24"/>
              </w:rPr>
            </w:pPr>
            <w:r>
              <w:rPr>
                <w:rFonts w:ascii="Times New Roman" w:cs="Times New Roman" w:hAnsi="Times New Roman"/>
                <w:sz w:val="24"/>
                <w:szCs w:val="24"/>
              </w:rPr>
              <w:t>($52.2)</w:t>
            </w:r>
          </w:p>
        </w:tc>
        <w:tc>
          <w:tcPr>
            <w:tcW w:w="900" w:type="dxa"/>
            <w:tcBorders>
              <w:top w:val="nil"/>
              <w:left w:val="nil"/>
              <w:bottom w:val="nil"/>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r>
              <w:rPr>
                <w:rFonts w:ascii="Times New Roman" w:cs="Times New Roman" w:hAnsi="Times New Roman"/>
                <w:sz w:val="24"/>
                <w:szCs w:val="24"/>
              </w:rPr>
              <w:t> </w:t>
            </w:r>
          </w:p>
        </w:tc>
      </w:tr>
      <w:tr>
        <w:tblPrEx/>
        <w:trPr>
          <w:trHeight w:val="264" w:hRule="atLeast"/>
        </w:trPr>
        <w:tc>
          <w:tcPr>
            <w:tcW w:w="13048" w:type="dxa"/>
            <w:gridSpan w:val="13"/>
            <w:tcBorders>
              <w:top w:val="nil"/>
              <w:left w:val="single" w:sz="4" w:space="0" w:color="auto"/>
              <w:bottom w:val="nil"/>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i/>
                <w:iCs/>
                <w:sz w:val="24"/>
                <w:szCs w:val="24"/>
              </w:rPr>
            </w:pPr>
            <w:r>
              <w:rPr>
                <w:rFonts w:ascii="Times New Roman" w:cs="Times New Roman" w:hAnsi="Times New Roman"/>
                <w:i/>
                <w:iCs/>
                <w:sz w:val="24"/>
                <w:szCs w:val="24"/>
              </w:rPr>
              <w:t>Source:  1993-2003: Company Annual Reports and 10-Ks; 2004: 8-K August 10, 2004 press release summarizing preliminary results.</w:t>
            </w:r>
          </w:p>
        </w:tc>
      </w:tr>
      <w:tr>
        <w:tblPrEx/>
        <w:trPr>
          <w:trHeight w:val="264" w:hRule="atLeast"/>
        </w:trPr>
        <w:tc>
          <w:tcPr>
            <w:tcW w:w="13048" w:type="dxa"/>
            <w:gridSpan w:val="13"/>
            <w:tcBorders>
              <w:top w:val="nil"/>
              <w:left w:val="single" w:sz="4" w:space="0" w:color="auto"/>
              <w:bottom w:val="single" w:sz="4" w:space="0" w:color="auto"/>
              <w:right w:val="single" w:sz="4" w:space="0" w:color="auto"/>
            </w:tcBorders>
            <w:noWrap/>
            <w:tcMar>
              <w:top w:w="24" w:type="dxa"/>
              <w:left w:w="24" w:type="dxa"/>
              <w:bottom w:w="0" w:type="dxa"/>
              <w:right w:w="24" w:type="dxa"/>
            </w:tcMar>
            <w:vAlign w:val="bottom"/>
          </w:tcPr>
          <w:p>
            <w:pPr>
              <w:pStyle w:val="style0"/>
              <w:rPr>
                <w:rFonts w:ascii="Times New Roman" w:cs="Times New Roman" w:hAnsi="Times New Roman"/>
                <w:sz w:val="24"/>
                <w:szCs w:val="24"/>
              </w:rPr>
            </w:pPr>
          </w:p>
        </w:tc>
      </w:tr>
    </w:tbl>
    <w:p>
      <w:pPr>
        <w:pStyle w:val="style0"/>
        <w:ind w:firstLine="720"/>
        <w:jc w:val="both"/>
        <w:rPr>
          <w:rFonts w:ascii="Times New Roman" w:cs="Times New Roman" w:hAnsi="Times New Roman"/>
          <w:sz w:val="24"/>
          <w:szCs w:val="24"/>
        </w:rPr>
      </w:pPr>
    </w:p>
    <w:p>
      <w:pPr>
        <w:pStyle w:val="style0"/>
        <w:ind w:firstLine="720"/>
        <w:jc w:val="both"/>
        <w:rPr>
          <w:rFonts w:ascii="Times New Roman" w:cs="Times New Roman" w:hAnsi="Times New Roman"/>
          <w:sz w:val="24"/>
          <w:szCs w:val="24"/>
        </w:rPr>
      </w:pPr>
    </w:p>
    <w:p>
      <w:pPr>
        <w:pStyle w:val="style62"/>
        <w:rPr/>
      </w:pPr>
      <w:r>
        <w:t>Exhibit 12</w:t>
      </w:r>
    </w:p>
    <w:p>
      <w:pPr>
        <w:pStyle w:val="style62"/>
        <w:rPr/>
      </w:pPr>
      <w:r>
        <w:t>Interstates Bakeries Cash Flows 1993-2005</w:t>
      </w:r>
    </w:p>
    <w:p>
      <w:pPr>
        <w:pStyle w:val="style0"/>
        <w:ind w:firstLine="720"/>
        <w:jc w:val="both"/>
        <w:rPr>
          <w:rFonts w:ascii="Times New Roman" w:cs="Times New Roman" w:hAnsi="Times New Roman"/>
          <w:sz w:val="24"/>
          <w:szCs w:val="24"/>
        </w:rPr>
      </w:pPr>
    </w:p>
    <w:p>
      <w:pPr>
        <w:pStyle w:val="style0"/>
        <w:ind w:firstLine="720"/>
        <w:jc w:val="both"/>
        <w:rPr>
          <w:rFonts w:ascii="Times New Roman" w:cs="Times New Roman" w:hAnsi="Times New Roman"/>
          <w:sz w:val="24"/>
          <w:szCs w:val="24"/>
        </w:rPr>
      </w:pPr>
    </w:p>
    <w:p>
      <w:pPr>
        <w:pStyle w:val="style0"/>
        <w:jc w:val="both"/>
        <w:rPr>
          <w:rFonts w:ascii="Times New Roman" w:cs="Times New Roman" w:hAnsi="Times New Roman"/>
          <w:sz w:val="24"/>
          <w:szCs w:val="24"/>
        </w:rPr>
      </w:pP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drawing>
          <wp:inline distL="114300" distT="0" distB="0" distR="114300">
            <wp:extent cx="5943600" cy="3168436"/>
            <wp:effectExtent l="0" t="0" r="0" b="0"/>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2"/>
              </a:graphicData>
            </a:graphic>
          </wp:inline>
        </w:drawing>
      </w:r>
      <w:r>
        <w:rPr>
          <w:rFonts w:ascii="Times New Roman" w:cs="Times New Roman" w:hAnsi="Times New Roman"/>
          <w:noProof/>
          <w:sz w:val="24"/>
          <w:szCs w:val="24"/>
        </w:rPr>
      </w:r>
    </w:p>
    <w:p>
      <w:pPr>
        <w:pStyle w:val="style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There are numerous strategic options that Interstates CEO, James Elesser, is considering to turnaround the firms fortunes. The first option that the CEO is contemplating is merging with or being acquired by bigger firm. Recently, companies have shown interest in acquiring Interstate Bakeries, but the firm’s management and board of directors have not been for that idea. </w:t>
      </w:r>
      <w:r>
        <w:rPr>
          <w:rFonts w:ascii="Times New Roman" w:cs="Times New Roman" w:hAnsi="Times New Roman"/>
          <w:sz w:val="24"/>
          <w:szCs w:val="24"/>
        </w:rPr>
        <w:t xml:space="preserve">Elesser believes that by pursuing ESL (Extended Shelf Life) program, he can cut down the firm’s operating costs. </w:t>
      </w:r>
      <w:r>
        <w:rPr>
          <w:rFonts w:ascii="Times New Roman" w:cs="Times New Roman" w:hAnsi="Times New Roman"/>
          <w:sz w:val="24"/>
          <w:szCs w:val="24"/>
        </w:rPr>
        <w:t xml:space="preserve">The second option that Elesser is thinking of is filing bankruptcy to shield it from liabilities from creditors and suppliers. This seems a viable option for Elesser because once bankruptcy proceeding are initiated, the company can reach an agreement with creditors and suppliers for them to be paid at a later date. Through filing bankruptcy proceedings, the firm would have assured itself another lease of life to the reprieve of various categories of stakeholders. </w:t>
      </w:r>
      <w:r>
        <w:rPr>
          <w:rFonts w:ascii="Times New Roman" w:cs="Times New Roman" w:hAnsi="Times New Roman"/>
          <w:sz w:val="24"/>
          <w:szCs w:val="24"/>
        </w:rPr>
        <w:t xml:space="preserve">The other strategic option for Interstate </w:t>
      </w:r>
      <w:r>
        <w:rPr>
          <w:rFonts w:ascii="Times New Roman" w:cs="Times New Roman" w:hAnsi="Times New Roman"/>
          <w:sz w:val="24"/>
          <w:szCs w:val="24"/>
        </w:rPr>
        <w:t xml:space="preserve">is capitalizing on and strengthening its brand power to venture into new markets, inside and outside the U.S. </w:t>
      </w:r>
      <w:r>
        <w:rPr>
          <w:rFonts w:ascii="Times New Roman" w:cs="Times New Roman" w:hAnsi="Times New Roman"/>
          <w:sz w:val="24"/>
          <w:szCs w:val="24"/>
        </w:rPr>
        <w:t xml:space="preserve">Currently, the firm has diverse brands that have performed exceptionally in the U.S. market, such as Hostess, Home Pride, Twinkies, and Dolly Madison. </w:t>
      </w:r>
      <w:r>
        <w:rPr>
          <w:rFonts w:ascii="Times New Roman" w:cs="Times New Roman" w:hAnsi="Times New Roman"/>
          <w:sz w:val="24"/>
          <w:szCs w:val="24"/>
        </w:rPr>
        <w:t xml:space="preserve">Exhibit 6 shows various Interstate products and brands. </w:t>
      </w:r>
      <w:r>
        <w:rPr>
          <w:rFonts w:ascii="Times New Roman" w:cs="Times New Roman" w:hAnsi="Times New Roman"/>
          <w:sz w:val="24"/>
          <w:szCs w:val="24"/>
        </w:rPr>
        <w:t xml:space="preserve"> </w:t>
      </w:r>
    </w:p>
    <w:p>
      <w:pPr>
        <w:pStyle w:val="style0"/>
        <w:jc w:val="both"/>
        <w:rPr>
          <w:rFonts w:ascii="Times New Roman" w:cs="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00" w:firstRow="0" w:lastRow="0" w:firstColumn="0" w:lastColumn="0" w:noHBand="0" w:noVBand="0"/>
      </w:tblPr>
      <w:tblGrid>
        <w:gridCol w:w="4068"/>
        <w:gridCol w:w="540"/>
        <w:gridCol w:w="4968"/>
      </w:tblGrid>
      <w:tr>
        <w:trPr>
          <w:cantSplit/>
        </w:trPr>
        <w:tc>
          <w:tcPr>
            <w:tcW w:w="9576" w:type="dxa"/>
            <w:gridSpan w:val="3"/>
            <w:tcBorders/>
          </w:tcPr>
          <w:p>
            <w:pPr>
              <w:pStyle w:val="style0"/>
              <w:jc w:val="center"/>
              <w:rPr>
                <w:b/>
                <w:bCs/>
              </w:rPr>
            </w:pPr>
            <w:r>
              <w:rPr>
                <w:b/>
                <w:bCs/>
              </w:rPr>
              <w:t>Exhibit 6</w:t>
            </w:r>
          </w:p>
          <w:p>
            <w:pPr>
              <w:pStyle w:val="style0"/>
              <w:jc w:val="center"/>
              <w:rPr>
                <w:b/>
                <w:bCs/>
              </w:rPr>
            </w:pPr>
            <w:r>
              <w:rPr>
                <w:b/>
                <w:bCs/>
              </w:rPr>
              <w:t>Interstate Bakeries</w:t>
            </w:r>
          </w:p>
          <w:p>
            <w:pPr>
              <w:pStyle w:val="style0"/>
              <w:jc w:val="center"/>
              <w:rPr/>
            </w:pPr>
            <w:r>
              <w:rPr>
                <w:b/>
                <w:bCs/>
              </w:rPr>
              <w:t>Products and Brand names</w:t>
            </w:r>
          </w:p>
        </w:tc>
      </w:tr>
      <w:tr>
        <w:tblPrEx/>
        <w:trPr/>
        <w:tc>
          <w:tcPr>
            <w:tcW w:w="4068" w:type="dxa"/>
            <w:tcBorders/>
          </w:tcPr>
          <w:p>
            <w:pPr>
              <w:pStyle w:val="style2"/>
              <w:rPr/>
            </w:pPr>
            <w:r>
              <w:t>Products</w:t>
            </w:r>
          </w:p>
        </w:tc>
        <w:tc>
          <w:tcPr>
            <w:tcW w:w="540" w:type="dxa"/>
            <w:tcBorders/>
          </w:tcPr>
          <w:p>
            <w:pPr>
              <w:pStyle w:val="style0"/>
              <w:rPr/>
            </w:pPr>
          </w:p>
        </w:tc>
        <w:tc>
          <w:tcPr>
            <w:tcW w:w="4968" w:type="dxa"/>
            <w:tcBorders/>
          </w:tcPr>
          <w:p>
            <w:pPr>
              <w:pStyle w:val="style2"/>
              <w:rPr/>
            </w:pPr>
            <w:r>
              <w:t>Brands – Bread</w:t>
            </w:r>
          </w:p>
        </w:tc>
      </w:tr>
      <w:tr>
        <w:tblPrEx/>
        <w:trPr/>
        <w:tc>
          <w:tcPr>
            <w:tcW w:w="4068" w:type="dxa"/>
            <w:tcBorders/>
          </w:tcPr>
          <w:p>
            <w:pPr>
              <w:pStyle w:val="style0"/>
              <w:rPr/>
            </w:pPr>
            <w:r>
              <w:rPr>
                <w:b/>
                <w:bCs/>
              </w:rPr>
              <w:t>Breads:</w:t>
            </w:r>
            <w:r>
              <w:t xml:space="preserve"> White, variety, crusty, reduced calorie</w:t>
            </w:r>
          </w:p>
        </w:tc>
        <w:tc>
          <w:tcPr>
            <w:tcW w:w="540" w:type="dxa"/>
            <w:tcBorders/>
          </w:tcPr>
          <w:p>
            <w:pPr>
              <w:pStyle w:val="style0"/>
              <w:rPr/>
            </w:pPr>
          </w:p>
        </w:tc>
        <w:tc>
          <w:tcPr>
            <w:tcW w:w="4968" w:type="dxa"/>
            <w:tcBorders/>
          </w:tcPr>
          <w:p>
            <w:pPr>
              <w:pStyle w:val="style0"/>
              <w:rPr>
                <w:b/>
                <w:bCs/>
              </w:rPr>
            </w:pPr>
            <w:r>
              <w:rPr>
                <w:b/>
                <w:bCs/>
              </w:rPr>
              <w:t>National:</w:t>
            </w:r>
            <w:r>
              <w:t xml:space="preserve">  Wonder, Home Pride, Bread du Jour, Mrs. </w:t>
            </w:r>
            <w:r>
              <w:t>Cubbison’s</w:t>
            </w:r>
            <w:r>
              <w:t xml:space="preserve">, Marie </w:t>
            </w:r>
            <w:r>
              <w:t>Callender’s</w:t>
            </w:r>
          </w:p>
        </w:tc>
      </w:tr>
      <w:tr>
        <w:tblPrEx/>
        <w:trPr>
          <w:cantSplit/>
        </w:trPr>
        <w:tc>
          <w:tcPr>
            <w:tcW w:w="4068" w:type="dxa"/>
            <w:tcBorders/>
          </w:tcPr>
          <w:p>
            <w:pPr>
              <w:pStyle w:val="style0"/>
              <w:rPr/>
            </w:pPr>
            <w:r>
              <w:rPr>
                <w:b/>
                <w:bCs/>
              </w:rPr>
              <w:t>Other bread products:</w:t>
            </w:r>
            <w:r>
              <w:t xml:space="preserve">  English muffins, Croutons, Hamburger and hot dog buns</w:t>
            </w:r>
          </w:p>
        </w:tc>
        <w:tc>
          <w:tcPr>
            <w:tcW w:w="540" w:type="dxa"/>
            <w:tcBorders/>
          </w:tcPr>
          <w:p>
            <w:pPr>
              <w:pStyle w:val="style0"/>
              <w:rPr/>
            </w:pPr>
          </w:p>
        </w:tc>
        <w:tc>
          <w:tcPr>
            <w:tcW w:w="4968" w:type="dxa"/>
            <w:vMerge w:val="restart"/>
            <w:tcBorders/>
          </w:tcPr>
          <w:p>
            <w:pPr>
              <w:pStyle w:val="style0"/>
              <w:rPr/>
            </w:pPr>
            <w:r>
              <w:rPr>
                <w:b/>
                <w:bCs/>
              </w:rPr>
              <w:t>Regional:</w:t>
            </w:r>
            <w:r>
              <w:t xml:space="preserve"> Beefsteaks, Brown’s Classic, Bunny, </w:t>
            </w:r>
            <w:r>
              <w:t>Buttermaid</w:t>
            </w:r>
            <w:r>
              <w:t xml:space="preserve">, Butternut, Colombo, Cotton’s </w:t>
            </w:r>
            <w:r>
              <w:t>Holsum</w:t>
            </w:r>
            <w:r>
              <w:t xml:space="preserve">, Country Kitchen, </w:t>
            </w:r>
            <w:r>
              <w:t>DiCarlo</w:t>
            </w:r>
            <w:r>
              <w:t xml:space="preserve">, Eddy’s </w:t>
            </w:r>
            <w:r>
              <w:t>Emporer</w:t>
            </w:r>
            <w:r>
              <w:t xml:space="preserve"> Norton, Grandma Emilie’s, </w:t>
            </w:r>
            <w:r>
              <w:t>Holsum</w:t>
            </w:r>
            <w:r>
              <w:t xml:space="preserve">, J.J. </w:t>
            </w:r>
            <w:r>
              <w:t>Nissen</w:t>
            </w:r>
            <w:r>
              <w:t xml:space="preserve">, </w:t>
            </w:r>
            <w:r>
              <w:t>Merita</w:t>
            </w:r>
            <w:r>
              <w:t xml:space="preserve">, Millbrook Farms, Parisian, Roman Meal, Sunbeam, Sun-Maid, Sweetheart, </w:t>
            </w:r>
            <w:r>
              <w:t>Toscano</w:t>
            </w:r>
            <w:r>
              <w:t>, Weber’s</w:t>
            </w:r>
          </w:p>
        </w:tc>
      </w:tr>
      <w:tr>
        <w:tblPrEx/>
        <w:trPr>
          <w:cantSplit/>
        </w:trPr>
        <w:tc>
          <w:tcPr>
            <w:tcW w:w="4068" w:type="dxa"/>
            <w:tcBorders/>
          </w:tcPr>
          <w:p>
            <w:pPr>
              <w:pStyle w:val="style0"/>
              <w:rPr>
                <w:b/>
                <w:bCs/>
              </w:rPr>
            </w:pPr>
            <w:r>
              <w:rPr>
                <w:b/>
                <w:bCs/>
              </w:rPr>
              <w:t>Brand Names:</w:t>
            </w:r>
          </w:p>
          <w:p>
            <w:pPr>
              <w:pStyle w:val="style0"/>
              <w:rPr/>
            </w:pPr>
            <w:r>
              <w:rPr>
                <w:b/>
                <w:bCs/>
              </w:rPr>
              <w:t>National:</w:t>
            </w:r>
            <w:r>
              <w:t xml:space="preserve">  Wonder, Hostess, Home Price</w:t>
            </w:r>
          </w:p>
          <w:p>
            <w:pPr>
              <w:pStyle w:val="style0"/>
              <w:rPr/>
            </w:pPr>
            <w:r>
              <w:rPr>
                <w:b/>
                <w:bCs/>
              </w:rPr>
              <w:t>Regional:</w:t>
            </w:r>
            <w:r>
              <w:t xml:space="preserve"> Butternut, Dolly Madison, Drake’s, </w:t>
            </w:r>
            <w:r>
              <w:t>Merita</w:t>
            </w:r>
          </w:p>
          <w:p>
            <w:pPr>
              <w:pStyle w:val="style0"/>
              <w:rPr/>
            </w:pPr>
            <w:r>
              <w:rPr>
                <w:b/>
                <w:bCs/>
              </w:rPr>
              <w:t>Private Label Names:</w:t>
            </w:r>
            <w:r>
              <w:t xml:space="preserve">  Numerous</w:t>
            </w:r>
          </w:p>
        </w:tc>
        <w:tc>
          <w:tcPr>
            <w:tcW w:w="540" w:type="dxa"/>
            <w:tcBorders/>
          </w:tcPr>
          <w:p>
            <w:pPr>
              <w:pStyle w:val="style0"/>
              <w:rPr/>
            </w:pPr>
          </w:p>
        </w:tc>
        <w:tc>
          <w:tcPr>
            <w:tcW w:w="4968" w:type="dxa"/>
            <w:vMerge w:val="continue"/>
            <w:tcBorders/>
          </w:tcPr>
          <w:p>
            <w:pPr>
              <w:pStyle w:val="style0"/>
              <w:rPr/>
            </w:pPr>
          </w:p>
        </w:tc>
      </w:tr>
      <w:tr>
        <w:tblPrEx/>
        <w:trPr/>
        <w:tc>
          <w:tcPr>
            <w:tcW w:w="4068" w:type="dxa"/>
            <w:tcBorders/>
          </w:tcPr>
          <w:p>
            <w:pPr>
              <w:pStyle w:val="style0"/>
              <w:rPr/>
            </w:pPr>
          </w:p>
        </w:tc>
        <w:tc>
          <w:tcPr>
            <w:tcW w:w="540" w:type="dxa"/>
            <w:tcBorders/>
          </w:tcPr>
          <w:p>
            <w:pPr>
              <w:pStyle w:val="style0"/>
              <w:rPr/>
            </w:pPr>
          </w:p>
        </w:tc>
        <w:tc>
          <w:tcPr>
            <w:tcW w:w="4968" w:type="dxa"/>
            <w:tcBorders/>
          </w:tcPr>
          <w:p>
            <w:pPr>
              <w:pStyle w:val="style2"/>
              <w:rPr/>
            </w:pPr>
            <w:r>
              <w:t>Brands – Cakes</w:t>
            </w:r>
          </w:p>
        </w:tc>
      </w:tr>
      <w:tr>
        <w:tblPrEx/>
        <w:trPr/>
        <w:tc>
          <w:tcPr>
            <w:tcW w:w="4068" w:type="dxa"/>
            <w:tcBorders/>
          </w:tcPr>
          <w:p>
            <w:pPr>
              <w:pStyle w:val="style0"/>
              <w:rPr/>
            </w:pPr>
          </w:p>
        </w:tc>
        <w:tc>
          <w:tcPr>
            <w:tcW w:w="540" w:type="dxa"/>
            <w:tcBorders/>
          </w:tcPr>
          <w:p>
            <w:pPr>
              <w:pStyle w:val="style0"/>
              <w:rPr/>
            </w:pPr>
          </w:p>
        </w:tc>
        <w:tc>
          <w:tcPr>
            <w:tcW w:w="4968" w:type="dxa"/>
            <w:tcBorders/>
          </w:tcPr>
          <w:p>
            <w:pPr>
              <w:pStyle w:val="style0"/>
              <w:rPr/>
            </w:pPr>
            <w:r>
              <w:rPr>
                <w:b/>
                <w:bCs/>
              </w:rPr>
              <w:t>National and Regional</w:t>
            </w:r>
            <w:r>
              <w:t>: Hostess, Drake’s, Dolly Madison</w:t>
            </w:r>
          </w:p>
        </w:tc>
      </w:tr>
      <w:tr>
        <w:tblPrEx/>
        <w:trPr>
          <w:cantSplit/>
        </w:trPr>
        <w:tc>
          <w:tcPr>
            <w:tcW w:w="9576" w:type="dxa"/>
            <w:gridSpan w:val="3"/>
            <w:tcBorders/>
          </w:tcPr>
          <w:p>
            <w:pPr>
              <w:pStyle w:val="style2"/>
              <w:rPr/>
            </w:pPr>
            <w:r>
              <w:t>Trademarks –</w:t>
            </w:r>
          </w:p>
        </w:tc>
      </w:tr>
      <w:tr>
        <w:tblPrEx/>
        <w:trPr/>
        <w:tc>
          <w:tcPr>
            <w:tcW w:w="4068" w:type="dxa"/>
            <w:tcBorders/>
          </w:tcPr>
          <w:p>
            <w:pPr>
              <w:pStyle w:val="style0"/>
              <w:rPr/>
            </w:pPr>
            <w:r>
              <w:rPr>
                <w:b/>
                <w:bCs/>
              </w:rPr>
              <w:t>National and Regional:</w:t>
            </w:r>
            <w:r>
              <w:t xml:space="preserve">  Wonder, Hostess, Home Pride, Butternut, Dolly Madison</w:t>
            </w:r>
          </w:p>
        </w:tc>
        <w:tc>
          <w:tcPr>
            <w:tcW w:w="540" w:type="dxa"/>
            <w:tcBorders/>
          </w:tcPr>
          <w:p>
            <w:pPr>
              <w:pStyle w:val="style0"/>
              <w:rPr/>
            </w:pPr>
          </w:p>
        </w:tc>
        <w:tc>
          <w:tcPr>
            <w:tcW w:w="4968" w:type="dxa"/>
            <w:tcBorders/>
          </w:tcPr>
          <w:p>
            <w:pPr>
              <w:pStyle w:val="style0"/>
              <w:rPr/>
            </w:pPr>
            <w:r>
              <w:rPr>
                <w:b/>
                <w:bCs/>
              </w:rPr>
              <w:t>Product Trademarks:</w:t>
            </w:r>
            <w:r>
              <w:t xml:space="preserve">  Twinkies, </w:t>
            </w:r>
            <w:r>
              <w:t>HoHos</w:t>
            </w:r>
            <w:r>
              <w:t>, Zingers</w:t>
            </w:r>
          </w:p>
        </w:tc>
      </w:tr>
      <w:tr>
        <w:tblPrEx/>
        <w:trPr/>
        <w:tc>
          <w:tcPr>
            <w:tcW w:w="4068" w:type="dxa"/>
            <w:tcBorders/>
          </w:tcPr>
          <w:p>
            <w:pPr>
              <w:pStyle w:val="style0"/>
              <w:rPr/>
            </w:pPr>
          </w:p>
        </w:tc>
        <w:tc>
          <w:tcPr>
            <w:tcW w:w="540" w:type="dxa"/>
            <w:tcBorders/>
          </w:tcPr>
          <w:p>
            <w:pPr>
              <w:pStyle w:val="style0"/>
              <w:rPr/>
            </w:pPr>
          </w:p>
        </w:tc>
        <w:tc>
          <w:tcPr>
            <w:tcW w:w="4968" w:type="dxa"/>
            <w:tcBorders/>
          </w:tcPr>
          <w:p>
            <w:pPr>
              <w:pStyle w:val="style0"/>
              <w:rPr/>
            </w:pPr>
          </w:p>
        </w:tc>
      </w:tr>
      <w:tr>
        <w:tblPrEx/>
        <w:trPr>
          <w:cantSplit/>
        </w:trPr>
        <w:tc>
          <w:tcPr>
            <w:tcW w:w="9576" w:type="dxa"/>
            <w:gridSpan w:val="3"/>
            <w:tcBorders/>
          </w:tcPr>
          <w:p>
            <w:pPr>
              <w:pStyle w:val="style0"/>
              <w:rPr>
                <w:i/>
                <w:iCs/>
              </w:rPr>
            </w:pPr>
            <w:r>
              <w:rPr>
                <w:i/>
                <w:iCs/>
              </w:rPr>
              <w:t xml:space="preserve">Source: Interstate Bakeries Corporation, 2003 Annual Report </w:t>
            </w:r>
          </w:p>
        </w:tc>
      </w:tr>
    </w:tbl>
    <w:p>
      <w:pPr>
        <w:pStyle w:val="style0"/>
        <w:jc w:val="both"/>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A careful assessment of the options that Elesser is considering shows that pursuing mergers and acquisitions is the strategic action that the firm can take. </w:t>
      </w:r>
      <w:r>
        <w:rPr>
          <w:rFonts w:ascii="Times New Roman" w:cs="Times New Roman" w:hAnsi="Times New Roman"/>
          <w:sz w:val="24"/>
          <w:szCs w:val="24"/>
        </w:rPr>
        <w:t xml:space="preserve">In history, no firm has grown by using its resources alone. Firms realize growth by pooling their resources together to beat the competition of established giants. </w:t>
      </w:r>
      <w:r>
        <w:rPr>
          <w:rFonts w:ascii="Times New Roman" w:cs="Times New Roman" w:hAnsi="Times New Roman"/>
          <w:sz w:val="24"/>
          <w:szCs w:val="24"/>
        </w:rPr>
        <w:t xml:space="preserve">However, for a merger to be successful, it is important to evaluate the value that the other firm would bring. </w:t>
      </w:r>
      <w:r>
        <w:rPr>
          <w:rFonts w:ascii="Times New Roman" w:cs="Times New Roman" w:hAnsi="Times New Roman"/>
          <w:sz w:val="24"/>
          <w:szCs w:val="24"/>
        </w:rPr>
        <w:t>In pursuing the merger or acquisition, Interstate should consider its plans carefully and assess how it will use its newly acquired assets to generate greater value to itself and its stakeholders. This plan would involve an evaluation of circumstances that has brought firm to near bankruptcy. These circumstances may range from competitive pressures and marketing failures to management failures and over-indebtedness.</w:t>
      </w:r>
      <w:r>
        <w:rPr>
          <w:rFonts w:ascii="Times New Roman" w:cs="Times New Roman" w:hAnsi="Times New Roman"/>
          <w:sz w:val="24"/>
          <w:szCs w:val="24"/>
        </w:rPr>
        <w:t xml:space="preserve"> </w:t>
      </w:r>
      <w:r>
        <w:rPr>
          <w:rFonts w:ascii="Times New Roman" w:cs="Times New Roman" w:hAnsi="Times New Roman"/>
          <w:sz w:val="24"/>
          <w:szCs w:val="24"/>
        </w:rPr>
        <w:t xml:space="preserve">Once these circumstances are established, the next course of action would be for Interstate Bakeries to put in place measures to prevent them from recurring. </w:t>
      </w:r>
      <w:r>
        <w:rPr>
          <w:rFonts w:ascii="Times New Roman" w:cs="Times New Roman" w:hAnsi="Times New Roman"/>
          <w:sz w:val="24"/>
          <w:szCs w:val="24"/>
        </w:rPr>
        <w:t>All the times, the firm’s CEO should weigh the strategic impact of the decisions they make for the company, from decisions related to investment</w:t>
      </w:r>
      <w:r>
        <w:rPr>
          <w:rFonts w:ascii="Times New Roman" w:cs="Times New Roman" w:hAnsi="Times New Roman"/>
          <w:sz w:val="24"/>
          <w:szCs w:val="24"/>
        </w:rPr>
        <w:t xml:space="preserve"> </w:t>
      </w:r>
      <w:r>
        <w:rPr>
          <w:rFonts w:ascii="Times New Roman" w:cs="Times New Roman" w:hAnsi="Times New Roman"/>
          <w:sz w:val="24"/>
          <w:szCs w:val="24"/>
        </w:rPr>
        <w:t xml:space="preserve">to decisions involving restructuring or implementing other strategic changes.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jc w:val="both"/>
        <w:rPr>
          <w:rFonts w:ascii="Times New Roman" w:cs="Times New Roman" w:hAnsi="Times New Roman"/>
          <w:sz w:val="24"/>
          <w:szCs w:val="24"/>
        </w:rPr>
      </w:pPr>
    </w:p>
    <w:p>
      <w:pPr>
        <w:pStyle w:val="style0"/>
        <w:jc w:val="both"/>
        <w:rPr>
          <w:rFonts w:ascii="Times New Roman" w:cs="Times New Roman" w:hAnsi="Times New Roman"/>
          <w:sz w:val="24"/>
          <w:szCs w:val="24"/>
        </w:rPr>
      </w:pPr>
    </w:p>
    <w:p>
      <w:pPr>
        <w:pStyle w:val="style0"/>
        <w:jc w:val="both"/>
        <w:rPr>
          <w:rFonts w:ascii="Times New Roman" w:cs="Times New Roman" w:hAnsi="Times New Roman"/>
          <w:sz w:val="24"/>
          <w:szCs w:val="24"/>
        </w:rPr>
      </w:pPr>
    </w:p>
    <w:sectPr>
      <w:headerReference w:type="default" r:id="rId3"/>
      <w:headerReference w:type="first" r:id="rId4"/>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20002A87" w:usb1="80000000" w:usb2="00000008" w:usb3="00000000" w:csb0="000001FF" w:csb1="00000000"/>
  </w:font>
  <w:font w:name="Tahoma">
    <w:altName w:val="Tahoma"/>
    <w:panose1 w:val="020b0604030005040204"/>
    <w:charset w:val="00"/>
    <w:family w:val="swiss"/>
    <w:pitch w:val="variable"/>
    <w:sig w:usb0="61002A87" w:usb1="80000000" w:usb2="00000008" w:usb3="00000000" w:csb0="0001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INTERSTATE BAKERIES CASE STUDY</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 xml:space="preserve">Running head: </w:t>
    </w:r>
    <w:r>
      <w:rPr>
        <w:rFonts w:ascii="Times New Roman" w:cs="Times New Roman" w:hAnsi="Times New Roman"/>
        <w:sz w:val="24"/>
        <w:szCs w:val="24"/>
      </w:rPr>
      <w:t>INTERSTATE BAKERIES CASE STUDY</w:t>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2">
    <w:name w:val="heading 2"/>
    <w:basedOn w:val="style0"/>
    <w:next w:val="style0"/>
    <w:link w:val="style4099"/>
    <w:qFormat/>
    <w:pPr>
      <w:keepNext/>
      <w:spacing w:after="0" w:lineRule="auto" w:line="240"/>
      <w:jc w:val="center"/>
      <w:outlineLvl w:val="1"/>
    </w:pPr>
    <w:rPr>
      <w:rFonts w:ascii="Times New Roman" w:cs="Times New Roman" w:eastAsia="Times New Roman" w:hAnsi="Times New Roman"/>
      <w:b/>
      <w:bCs/>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pPr>
      <w:tabs>
        <w:tab w:val="center" w:leader="none" w:pos="4680"/>
        <w:tab w:val="right" w:leader="none" w:pos="9360"/>
      </w:tabs>
      <w:spacing w:after="0" w:lineRule="auto" w:line="240"/>
    </w:pPr>
    <w:rPr/>
  </w:style>
  <w:style w:type="character" w:customStyle="1" w:styleId="style4097">
    <w:name w:val="Header Char_2bd82957-029c-449f-8bd9-bccb28818cad"/>
    <w:basedOn w:val="style65"/>
    <w:next w:val="style4097"/>
    <w:link w:val="style31"/>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fd4b757-f403-45d0-9ae3-29f3203cb602"/>
    <w:basedOn w:val="style65"/>
    <w:next w:val="style4098"/>
    <w:link w:val="style32"/>
    <w:uiPriority w:val="99"/>
  </w:style>
  <w:style w:type="character" w:customStyle="1" w:styleId="style4099">
    <w:name w:val="Heading 2 Char_706468b6-146f-4b99-8d19-35a0b77b5b97"/>
    <w:basedOn w:val="style65"/>
    <w:next w:val="style4099"/>
    <w:link w:val="style2"/>
    <w:rPr>
      <w:rFonts w:ascii="Times New Roman" w:cs="Times New Roman" w:eastAsia="Times New Roman" w:hAnsi="Times New Roman"/>
      <w:b/>
      <w:bCs/>
      <w:sz w:val="24"/>
      <w:szCs w:val="24"/>
    </w:rPr>
  </w:style>
  <w:style w:type="paragraph" w:styleId="style153">
    <w:name w:val="Balloon Text"/>
    <w:basedOn w:val="style0"/>
    <w:next w:val="style153"/>
    <w:link w:val="style4100"/>
    <w:uiPriority w:val="99"/>
    <w:pPr>
      <w:spacing w:after="0" w:lineRule="auto" w:line="240"/>
    </w:pPr>
    <w:rPr>
      <w:rFonts w:ascii="Tahoma" w:cs="Tahoma" w:hAnsi="Tahoma"/>
      <w:sz w:val="16"/>
      <w:szCs w:val="16"/>
    </w:rPr>
  </w:style>
  <w:style w:type="character" w:customStyle="1" w:styleId="style4100">
    <w:name w:val="Balloon Text Char"/>
    <w:basedOn w:val="style65"/>
    <w:next w:val="style4100"/>
    <w:link w:val="style153"/>
    <w:uiPriority w:val="99"/>
    <w:rPr>
      <w:rFonts w:ascii="Tahoma" w:cs="Tahoma" w:hAnsi="Tahoma"/>
      <w:sz w:val="16"/>
      <w:szCs w:val="16"/>
    </w:rPr>
  </w:style>
  <w:style w:type="paragraph" w:styleId="style62">
    <w:name w:val="Title"/>
    <w:basedOn w:val="style0"/>
    <w:next w:val="style62"/>
    <w:link w:val="style4101"/>
    <w:qFormat/>
    <w:pPr>
      <w:spacing w:after="0" w:lineRule="auto" w:line="240"/>
      <w:jc w:val="center"/>
    </w:pPr>
    <w:rPr>
      <w:rFonts w:ascii="Times New Roman" w:cs="Times New Roman" w:eastAsia="Times New Roman" w:hAnsi="Times New Roman"/>
      <w:b/>
      <w:bCs/>
      <w:sz w:val="24"/>
      <w:szCs w:val="24"/>
    </w:rPr>
  </w:style>
  <w:style w:type="character" w:customStyle="1" w:styleId="style4101">
    <w:name w:val="Title Char_695543c2-2a88-4307-8921-8419dcdb3c2e"/>
    <w:basedOn w:val="style65"/>
    <w:next w:val="style4101"/>
    <w:link w:val="style62"/>
    <w:rPr>
      <w:rFonts w:ascii="Times New Roman" w:cs="Times New Roman" w:eastAsia="Times New Roman" w:hAnsi="Times New Roman"/>
      <w:b/>
      <w:bCs/>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chart" Target="charts/chart1.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charts/_rels/chart1.xml.rels><?xml version="1.0" encoding="UTF-8"?>
<Relationships xmlns="http://schemas.openxmlformats.org/package/2006/relationships"><Relationship Id="rId1" Type="http://schemas.openxmlformats.org/officeDocument/2006/relationships/package" Target="../embeddings/Microsoft_Excel____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3653603034134"/>
          <c:y val="0.050359712230215826"/>
          <c:w val="0.584070796460177"/>
          <c:h val="0.8513189448441247"/>
        </c:manualLayout>
      </c:layout>
      <c:lineChart>
        <c:grouping val="standard"/>
        <c:varyColors val="0"/>
        <c:ser>
          <c:idx val="0"/>
          <c:order val="0"/>
          <c:tx>
            <c:strRef>
              <c:f>'Grapth Builder'!$A$3</c:f>
              <c:strCache>
                <c:ptCount val="1"/>
                <c:pt idx="0">
                  <c:v>Cash</c:v>
                </c:pt>
              </c:strCache>
            </c:strRef>
          </c:tx>
          <c:spPr>
            <a:ln w="12694">
              <a:solidFill>
                <a:srgbClr val="000080"/>
              </a:solidFill>
              <a:prstDash val="solid"/>
            </a:ln>
          </c:spPr>
          <c:marker>
            <c:symbol val="diamond"/>
            <c:size val="4"/>
            <c:spPr>
              <a:solidFill>
                <a:srgbClr val="000080"/>
              </a:solidFill>
              <a:ln>
                <a:solidFill>
                  <a:srgbClr val="000080"/>
                </a:solidFill>
                <a:prstDash val="solid"/>
              </a:ln>
            </c:spPr>
          </c:marker>
          <c:val>
            <c:numRef>
              <c:f>'Grapth Builder'!$B$3:$K$3</c:f>
              <c:numCache>
                <c:formatCode>"$"#,##0_);\("$"#,##0\)</c:formatCode>
                <c:ptCount val="10"/>
                <c:pt idx="0">
                  <c:v>5046.0</c:v>
                </c:pt>
                <c:pt idx="1">
                  <c:v>3726.0</c:v>
                </c:pt>
                <c:pt idx="2">
                  <c:v>0.0</c:v>
                </c:pt>
                <c:pt idx="3">
                  <c:v>0.0</c:v>
                </c:pt>
                <c:pt idx="4">
                  <c:v>0.0</c:v>
                </c:pt>
                <c:pt idx="5">
                  <c:v>0.0</c:v>
                </c:pt>
                <c:pt idx="6">
                  <c:v>0.0</c:v>
                </c:pt>
                <c:pt idx="7">
                  <c:v>0.0</c:v>
                </c:pt>
                <c:pt idx="8">
                  <c:v>0.0</c:v>
                </c:pt>
                <c:pt idx="9">
                  <c:v>0.0</c:v>
                </c:pt>
              </c:numCache>
            </c:numRef>
          </c:val>
          <c:smooth val="0"/>
        </c:ser>
        <c:ser>
          <c:idx val="1"/>
          <c:order val="1"/>
          <c:tx>
            <c:strRef>
              <c:f>'Grapth Builder'!$A$4</c:f>
              <c:strCache>
                <c:ptCount val="1"/>
                <c:pt idx="0">
                  <c:v>Cash Flow From Operations</c:v>
                </c:pt>
              </c:strCache>
            </c:strRef>
          </c:tx>
          <c:spPr>
            <a:ln w="12694">
              <a:solidFill>
                <a:srgbClr val="FF00FF"/>
              </a:solidFill>
              <a:prstDash val="solid"/>
            </a:ln>
          </c:spPr>
          <c:marker>
            <c:symbol val="square"/>
            <c:size val="4"/>
            <c:spPr>
              <a:solidFill>
                <a:srgbClr val="FF00FF"/>
              </a:solidFill>
              <a:ln>
                <a:solidFill>
                  <a:srgbClr val="FF00FF"/>
                </a:solidFill>
                <a:prstDash val="solid"/>
              </a:ln>
            </c:spPr>
          </c:marker>
          <c:val>
            <c:numRef>
              <c:f>'Grapth Builder'!$B$4:$K$4</c:f>
              <c:numCache>
                <c:formatCode>"$"#,##0_);\("$"#,##0\)</c:formatCode>
                <c:ptCount val="10"/>
                <c:pt idx="0">
                  <c:v>53087.0</c:v>
                </c:pt>
                <c:pt idx="1">
                  <c:v>49666.0</c:v>
                </c:pt>
                <c:pt idx="2">
                  <c:v>164386.0</c:v>
                </c:pt>
                <c:pt idx="3">
                  <c:v>196173.0</c:v>
                </c:pt>
                <c:pt idx="4">
                  <c:v>201622.0</c:v>
                </c:pt>
                <c:pt idx="5">
                  <c:v>187541.0</c:v>
                </c:pt>
                <c:pt idx="6">
                  <c:v>165918.0</c:v>
                </c:pt>
                <c:pt idx="7">
                  <c:v>182212.0</c:v>
                </c:pt>
                <c:pt idx="8">
                  <c:v>199723.0</c:v>
                </c:pt>
                <c:pt idx="9">
                  <c:v>156419.0</c:v>
                </c:pt>
              </c:numCache>
            </c:numRef>
          </c:val>
          <c:smooth val="0"/>
        </c:ser>
        <c:ser>
          <c:idx val="2"/>
          <c:order val="2"/>
          <c:tx>
            <c:strRef>
              <c:f>'Grapth Builder'!$A$5</c:f>
              <c:strCache>
                <c:ptCount val="1"/>
                <c:pt idx="0">
                  <c:v>Cash Flow From Investment Activities</c:v>
                </c:pt>
              </c:strCache>
            </c:strRef>
          </c:tx>
          <c:spPr>
            <a:ln w="12694">
              <a:solidFill>
                <a:srgbClr val="FFFF00"/>
              </a:solidFill>
              <a:prstDash val="solid"/>
            </a:ln>
          </c:spPr>
          <c:marker>
            <c:symbol val="triangle"/>
            <c:size val="4"/>
            <c:spPr>
              <a:solidFill>
                <a:srgbClr val="FFFF00"/>
              </a:solidFill>
              <a:ln>
                <a:solidFill>
                  <a:srgbClr val="FFFF00"/>
                </a:solidFill>
                <a:prstDash val="solid"/>
              </a:ln>
            </c:spPr>
          </c:marker>
          <c:val>
            <c:numRef>
              <c:f>'Grapth Builder'!$B$5:$K$5</c:f>
              <c:numCache>
                <c:formatCode>"$"#,##0_);\("$"#,##0\)</c:formatCode>
                <c:ptCount val="10"/>
                <c:pt idx="0">
                  <c:v>-26297.0</c:v>
                </c:pt>
                <c:pt idx="1">
                  <c:v>-51622.0</c:v>
                </c:pt>
                <c:pt idx="2">
                  <c:v>-272322.0</c:v>
                </c:pt>
                <c:pt idx="3">
                  <c:v>-103266.0</c:v>
                </c:pt>
                <c:pt idx="4">
                  <c:v>-135131.0</c:v>
                </c:pt>
                <c:pt idx="5">
                  <c:v>-207149.0</c:v>
                </c:pt>
                <c:pt idx="6">
                  <c:v>-84404.0</c:v>
                </c:pt>
                <c:pt idx="7">
                  <c:v>-85672.0</c:v>
                </c:pt>
                <c:pt idx="8">
                  <c:v>-67815.0</c:v>
                </c:pt>
                <c:pt idx="9">
                  <c:v>-104195.0</c:v>
                </c:pt>
              </c:numCache>
            </c:numRef>
          </c:val>
          <c:smooth val="0"/>
        </c:ser>
        <c:ser>
          <c:idx val="3"/>
          <c:order val="3"/>
          <c:tx>
            <c:strRef>
              <c:f>'Grapth Builder'!$A$6</c:f>
              <c:strCache>
                <c:ptCount val="1"/>
                <c:pt idx="0">
                  <c:v>Cash Flow From Financing Activities</c:v>
                </c:pt>
              </c:strCache>
            </c:strRef>
          </c:tx>
          <c:spPr>
            <a:ln w="12694">
              <a:solidFill>
                <a:srgbClr val="00FFFF"/>
              </a:solidFill>
              <a:prstDash val="solid"/>
            </a:ln>
          </c:spPr>
          <c:marker>
            <c:symbol val="x"/>
            <c:size val="4"/>
            <c:spPr>
              <a:noFill/>
              <a:ln>
                <a:solidFill>
                  <a:srgbClr val="00FFFF"/>
                </a:solidFill>
                <a:prstDash val="solid"/>
              </a:ln>
            </c:spPr>
          </c:marker>
          <c:val>
            <c:numRef>
              <c:f>'Grapth Builder'!$B$6:$K$6</c:f>
              <c:numCache>
                <c:formatCode>"$"#,##0_);\("$"#,##0\)</c:formatCode>
                <c:ptCount val="10"/>
                <c:pt idx="0">
                  <c:v>-26347.0</c:v>
                </c:pt>
                <c:pt idx="1">
                  <c:v>636.0</c:v>
                </c:pt>
                <c:pt idx="2">
                  <c:v>104210.0</c:v>
                </c:pt>
                <c:pt idx="3">
                  <c:v>-92907.0</c:v>
                </c:pt>
                <c:pt idx="4">
                  <c:v>-66491.0</c:v>
                </c:pt>
                <c:pt idx="5">
                  <c:v>19608.0</c:v>
                </c:pt>
                <c:pt idx="6">
                  <c:v>-81514.0</c:v>
                </c:pt>
                <c:pt idx="7">
                  <c:v>-96540.0</c:v>
                </c:pt>
                <c:pt idx="8">
                  <c:v>-131908.0</c:v>
                </c:pt>
                <c:pt idx="9">
                  <c:v>-52224.0</c:v>
                </c:pt>
              </c:numCache>
            </c:numRef>
          </c:val>
          <c:smooth val="0"/>
        </c:ser>
        <c:dLbls>
          <c:showLegendKey val="0"/>
          <c:showVal val="0"/>
          <c:showCatName val="0"/>
          <c:showSerName val="0"/>
          <c:showPercent val="0"/>
          <c:showBubbleSize val="0"/>
        </c:dLbls>
        <c:marker val="1"/>
        <c:smooth val="0"/>
        <c:axId val="254227584"/>
        <c:axId val="256269696"/>
      </c:lineChart>
      <c:catAx>
        <c:axId val="254227584"/>
        <c:scaling>
          <c:orientation val="minMax"/>
        </c:scaling>
        <c:delete val="0"/>
        <c:axPos val="b"/>
        <c:title>
          <c:tx>
            <c:rich>
              <a:bodyPr/>
              <a:lstStyle/>
              <a:p>
                <a:pPr>
                  <a:defRPr sz="800" b="1" i="0" u="none" strike="noStrike" baseline="0">
                    <a:solidFill>
                      <a:srgbClr val="000000"/>
                    </a:solidFill>
                    <a:latin typeface="Arial"/>
                    <a:ea typeface="Arial"/>
                    <a:cs typeface="Arial"/>
                  </a:defRPr>
                </a:pPr>
                <a:r>
                  <a:rPr lang="en-US"/>
                  <a:t>Year Within Ten-year Period</a:t>
                </a:r>
              </a:p>
            </c:rich>
          </c:tx>
          <c:layout>
            <c:manualLayout>
              <c:xMode val="edge"/>
              <c:yMode val="edge"/>
              <c:x val="0.31352718078381797"/>
              <c:y val="0.9232613908872902"/>
            </c:manualLayout>
          </c:layout>
          <c:overlay val="0"/>
          <c:spPr>
            <a:noFill/>
            <a:ln w="25388">
              <a:noFill/>
            </a:ln>
          </c:spPr>
        </c:title>
        <c:numFmt formatCode="General" sourceLinked="1"/>
        <c:majorTickMark val="out"/>
        <c:minorTickMark val="none"/>
        <c:tickLblPos val="nextTo"/>
        <c:spPr>
          <a:ln w="3174">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256269696"/>
        <c:crosses val="autoZero"/>
        <c:auto val="1"/>
        <c:lblAlgn val="ctr"/>
        <c:lblOffset val="100"/>
        <c:tickLblSkip val="1"/>
        <c:tickMarkSkip val="1"/>
        <c:noMultiLvlLbl val="0"/>
      </c:catAx>
      <c:valAx>
        <c:axId val="256269696"/>
        <c:scaling>
          <c:orientation val="minMax"/>
        </c:scaling>
        <c:delete val="0"/>
        <c:axPos val="l"/>
        <c:majorGridlines>
          <c:spPr>
            <a:ln w="3174">
              <a:solidFill>
                <a:srgbClr val="000000"/>
              </a:solidFill>
              <a:prstDash val="solid"/>
            </a:ln>
          </c:spPr>
        </c:majorGridlines>
        <c:title>
          <c:tx>
            <c:rich>
              <a:bodyPr/>
              <a:lstStyle/>
              <a:p>
                <a:pPr>
                  <a:defRPr sz="800" b="1" i="0" u="none" strike="noStrike" baseline="0">
                    <a:solidFill>
                      <a:srgbClr val="000000"/>
                    </a:solidFill>
                    <a:latin typeface="Arial"/>
                    <a:ea typeface="Arial"/>
                    <a:cs typeface="Arial"/>
                  </a:defRPr>
                </a:pPr>
                <a:r>
                  <a:rPr lang="en-US"/>
                  <a:t>Thousands Of Dollars</a:t>
                </a:r>
              </a:p>
            </c:rich>
          </c:tx>
          <c:layout>
            <c:manualLayout>
              <c:xMode val="edge"/>
              <c:yMode val="edge"/>
              <c:x val="0.01390644753476612"/>
              <c:y val="0.3261390887290168"/>
            </c:manualLayout>
          </c:layout>
          <c:overlay val="0"/>
          <c:spPr>
            <a:noFill/>
            <a:ln w="25388">
              <a:noFill/>
            </a:ln>
          </c:spPr>
        </c:title>
        <c:numFmt formatCode="&quot;$&quot;#,##0_);\(&quot;$&quot;#,##0\)" sourceLinked="1"/>
        <c:majorTickMark val="out"/>
        <c:minorTickMark val="none"/>
        <c:tickLblPos val="nextTo"/>
        <c:spPr>
          <a:ln w="3174">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254227584"/>
        <c:crosses val="autoZero"/>
        <c:crossBetween val="between"/>
      </c:valAx>
      <c:spPr>
        <a:solidFill>
          <a:srgbClr val="C0C0C0"/>
        </a:solidFill>
        <a:ln w="12694">
          <a:solidFill>
            <a:srgbClr val="808080"/>
          </a:solidFill>
          <a:prstDash val="solid"/>
        </a:ln>
      </c:spPr>
    </c:plotArea>
    <c:legend>
      <c:legendPos val="r"/>
      <c:layout>
        <c:manualLayout>
          <c:xMode val="edge"/>
          <c:yMode val="edge"/>
          <c:x val="0.718078381795196"/>
          <c:y val="0.381294964028777"/>
          <c:w val="0.27686472819216185"/>
          <c:h val="0.18465227817745802"/>
        </c:manualLayout>
      </c:layout>
      <c:overlay val="0"/>
      <c:spPr>
        <a:solidFill>
          <a:srgbClr val="FFFFFF"/>
        </a:solidFill>
        <a:ln w="3174">
          <a:solidFill>
            <a:srgbClr val="000000"/>
          </a:solidFill>
          <a:prstDash val="solid"/>
        </a:ln>
      </c:spPr>
      <c:txPr>
        <a:bodyPr/>
        <a:lstStyle/>
        <a:p>
          <a:pPr>
            <a:defRPr sz="735" b="0" i="0" u="none" strike="noStrike" baseline="0">
              <a:solidFill>
                <a:srgbClr val="000000"/>
              </a:solidFill>
              <a:latin typeface="Arial"/>
              <a:ea typeface="Arial"/>
              <a:cs typeface="Arial"/>
            </a:defRPr>
          </a:pPr>
          <a:endParaRPr lang="en-US"/>
        </a:p>
      </c:txPr>
    </c:legend>
    <c:plotVisOnly val="1"/>
    <c:dispBlanksAs val="gap"/>
    <c:showDLblsOverMax val="0"/>
  </c:chart>
  <c:spPr>
    <a:noFill/>
    <a:ln>
      <a:noFill/>
    </a:ln>
  </c:spPr>
  <c:txPr>
    <a:bodyPr/>
    <a:lstStyle/>
    <a:p>
      <a:pPr>
        <a:defRPr sz="800"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1596</Words>
  <Pages>8</Pages>
  <Characters>9060</Characters>
  <Application>WPS Office</Application>
  <DocSecurity>0</DocSecurity>
  <Paragraphs>578</Paragraphs>
  <ScaleCrop>false</ScaleCrop>
  <Company>Client3</Company>
  <LinksUpToDate>false</LinksUpToDate>
  <CharactersWithSpaces>10580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2020-03-06T18:59:27Z</dcterms:created>
  <dc:creator>Visitor</dc:creator>
  <lastModifiedBy>STK-L21</lastModifiedBy>
  <dcterms:modified xsi:type="dcterms:W3CDTF">2020-03-06T18:59:27Z</dcterms:modified>
  <revision>60</revision>
</coreProperties>
</file>

<file path=docProps/custom.xml><?xml version="1.0" encoding="utf-8"?>
<Properties xmlns="http://schemas.openxmlformats.org/officeDocument/2006/custom-properties" xmlns:vt="http://schemas.openxmlformats.org/officeDocument/2006/docPropsVTypes"/>
</file>